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70BF" w14:textId="12FBEF56" w:rsidR="003000E9" w:rsidRDefault="003000E9">
      <w:pPr>
        <w:rPr>
          <w:rFonts w:ascii="Arial" w:hAnsi="Arial" w:cs="Arial"/>
          <w:b/>
          <w:bCs/>
        </w:rPr>
      </w:pPr>
      <w:r w:rsidRPr="00C12CD1">
        <w:rPr>
          <w:rFonts w:ascii="Arial" w:hAnsi="Arial" w:cs="Arial"/>
          <w:b/>
          <w:bCs/>
        </w:rPr>
        <w:t>Post-Accident Drug</w:t>
      </w:r>
      <w:r w:rsidR="009D6E71" w:rsidRPr="00C12CD1">
        <w:rPr>
          <w:rFonts w:ascii="Arial" w:hAnsi="Arial" w:cs="Arial"/>
          <w:b/>
          <w:bCs/>
        </w:rPr>
        <w:t>-</w:t>
      </w:r>
      <w:r w:rsidRPr="00C12CD1">
        <w:rPr>
          <w:rFonts w:ascii="Arial" w:hAnsi="Arial" w:cs="Arial"/>
          <w:b/>
          <w:bCs/>
        </w:rPr>
        <w:t xml:space="preserve"> </w:t>
      </w:r>
      <w:r w:rsidR="002C2972" w:rsidRPr="00C12CD1">
        <w:rPr>
          <w:rFonts w:ascii="Arial" w:hAnsi="Arial" w:cs="Arial"/>
          <w:b/>
          <w:bCs/>
        </w:rPr>
        <w:t>and Alcohol</w:t>
      </w:r>
      <w:r w:rsidR="009D6E71" w:rsidRPr="00C12CD1">
        <w:rPr>
          <w:rFonts w:ascii="Arial" w:hAnsi="Arial" w:cs="Arial"/>
          <w:b/>
          <w:bCs/>
        </w:rPr>
        <w:t>-</w:t>
      </w:r>
      <w:r w:rsidRPr="00C12CD1">
        <w:rPr>
          <w:rFonts w:ascii="Arial" w:hAnsi="Arial" w:cs="Arial"/>
          <w:b/>
          <w:bCs/>
        </w:rPr>
        <w:t>Testing Policy</w:t>
      </w:r>
      <w:r w:rsidR="00713E0E" w:rsidRPr="00C12CD1">
        <w:rPr>
          <w:rFonts w:ascii="Arial" w:hAnsi="Arial" w:cs="Arial"/>
          <w:b/>
          <w:bCs/>
        </w:rPr>
        <w:t xml:space="preserve"> – DOT Drivers</w:t>
      </w:r>
    </w:p>
    <w:p w14:paraId="1C5EAAC5" w14:textId="77777777" w:rsidR="00C12CD1" w:rsidRPr="00C12CD1" w:rsidRDefault="00C12CD1">
      <w:pPr>
        <w:rPr>
          <w:rFonts w:ascii="Arial" w:hAnsi="Arial" w:cs="Arial"/>
          <w:b/>
          <w:bCs/>
        </w:rPr>
      </w:pPr>
    </w:p>
    <w:p w14:paraId="70A6F752" w14:textId="77777777" w:rsidR="003000E9" w:rsidRPr="000144D0" w:rsidRDefault="003000E9" w:rsidP="003000E9">
      <w:pPr>
        <w:rPr>
          <w:rFonts w:ascii="Arial" w:hAnsi="Arial" w:cs="Arial"/>
        </w:rPr>
      </w:pPr>
      <w:r w:rsidRPr="000144D0">
        <w:rPr>
          <w:rFonts w:ascii="Arial" w:hAnsi="Arial" w:cs="Arial"/>
          <w:b/>
          <w:bCs/>
        </w:rPr>
        <w:t>Purpose</w:t>
      </w:r>
    </w:p>
    <w:p w14:paraId="506AFDE0" w14:textId="4BB92B15" w:rsidR="003000E9" w:rsidRPr="000144D0" w:rsidRDefault="0060167B" w:rsidP="003000E9">
      <w:pPr>
        <w:rPr>
          <w:rFonts w:ascii="Arial" w:hAnsi="Arial" w:cs="Arial"/>
        </w:rPr>
      </w:pPr>
      <w:r>
        <w:rPr>
          <w:rFonts w:ascii="Arial" w:hAnsi="Arial" w:cs="Arial"/>
        </w:rPr>
        <w:t>[Company Name] complies with post-accident drug</w:t>
      </w:r>
      <w:r w:rsidR="009D6E7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and alcohol</w:t>
      </w:r>
      <w:r w:rsidR="009D6E7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testing requirements as required by the Department of Transportation (DOT) Federal Motor Carrier Safety Administration (FMCSA) regulations. </w:t>
      </w:r>
    </w:p>
    <w:p w14:paraId="339A594F" w14:textId="77777777" w:rsidR="003000E9" w:rsidRPr="000144D0" w:rsidRDefault="003000E9" w:rsidP="003000E9">
      <w:pPr>
        <w:rPr>
          <w:rFonts w:ascii="Arial" w:hAnsi="Arial" w:cs="Arial"/>
        </w:rPr>
      </w:pPr>
      <w:r w:rsidRPr="000144D0">
        <w:rPr>
          <w:rFonts w:ascii="Arial" w:hAnsi="Arial" w:cs="Arial"/>
          <w:b/>
          <w:bCs/>
        </w:rPr>
        <w:t>Scope</w:t>
      </w:r>
    </w:p>
    <w:p w14:paraId="0F67E1B3" w14:textId="1D547793" w:rsidR="0060167B" w:rsidRDefault="0060167B" w:rsidP="003000E9">
      <w:pPr>
        <w:rPr>
          <w:rFonts w:ascii="Arial" w:hAnsi="Arial" w:cs="Arial"/>
        </w:rPr>
      </w:pPr>
      <w:r w:rsidRPr="0060167B">
        <w:rPr>
          <w:rFonts w:ascii="Arial" w:hAnsi="Arial" w:cs="Arial"/>
        </w:rPr>
        <w:t xml:space="preserve">This policy applies to employees whose job requires them to obtain and retain a </w:t>
      </w:r>
      <w:r w:rsidR="009D6E71">
        <w:rPr>
          <w:rFonts w:ascii="Arial" w:hAnsi="Arial" w:cs="Arial"/>
        </w:rPr>
        <w:t>c</w:t>
      </w:r>
      <w:r w:rsidRPr="0060167B">
        <w:rPr>
          <w:rFonts w:ascii="Arial" w:hAnsi="Arial" w:cs="Arial"/>
        </w:rPr>
        <w:t xml:space="preserve">ommercial </w:t>
      </w:r>
      <w:r w:rsidR="009D6E71">
        <w:rPr>
          <w:rFonts w:ascii="Arial" w:hAnsi="Arial" w:cs="Arial"/>
        </w:rPr>
        <w:t>d</w:t>
      </w:r>
      <w:r w:rsidR="00F915D3" w:rsidRPr="0060167B">
        <w:rPr>
          <w:rFonts w:ascii="Arial" w:hAnsi="Arial" w:cs="Arial"/>
        </w:rPr>
        <w:t>river’s</w:t>
      </w:r>
      <w:r w:rsidRPr="0060167B">
        <w:rPr>
          <w:rFonts w:ascii="Arial" w:hAnsi="Arial" w:cs="Arial"/>
        </w:rPr>
        <w:t xml:space="preserve"> </w:t>
      </w:r>
      <w:r w:rsidR="009D6E71">
        <w:rPr>
          <w:rFonts w:ascii="Arial" w:hAnsi="Arial" w:cs="Arial"/>
        </w:rPr>
        <w:t>l</w:t>
      </w:r>
      <w:r w:rsidRPr="0060167B">
        <w:rPr>
          <w:rFonts w:ascii="Arial" w:hAnsi="Arial" w:cs="Arial"/>
        </w:rPr>
        <w:t xml:space="preserve">icense (CDL) and operate a </w:t>
      </w:r>
      <w:r w:rsidR="009D6E71">
        <w:rPr>
          <w:rFonts w:ascii="Arial" w:hAnsi="Arial" w:cs="Arial"/>
        </w:rPr>
        <w:t>c</w:t>
      </w:r>
      <w:r w:rsidRPr="0060167B">
        <w:rPr>
          <w:rFonts w:ascii="Arial" w:hAnsi="Arial" w:cs="Arial"/>
        </w:rPr>
        <w:t xml:space="preserve">ommercial </w:t>
      </w:r>
      <w:r w:rsidR="009D6E71">
        <w:rPr>
          <w:rFonts w:ascii="Arial" w:hAnsi="Arial" w:cs="Arial"/>
        </w:rPr>
        <w:t>m</w:t>
      </w:r>
      <w:r w:rsidRPr="0060167B">
        <w:rPr>
          <w:rFonts w:ascii="Arial" w:hAnsi="Arial" w:cs="Arial"/>
        </w:rPr>
        <w:t xml:space="preserve">otor </w:t>
      </w:r>
      <w:r w:rsidR="009D6E71">
        <w:rPr>
          <w:rFonts w:ascii="Arial" w:hAnsi="Arial" w:cs="Arial"/>
        </w:rPr>
        <w:t>v</w:t>
      </w:r>
      <w:r w:rsidRPr="0060167B">
        <w:rPr>
          <w:rFonts w:ascii="Arial" w:hAnsi="Arial" w:cs="Arial"/>
        </w:rPr>
        <w:t xml:space="preserve">ehicle (CMV). </w:t>
      </w:r>
    </w:p>
    <w:p w14:paraId="47962676" w14:textId="77777777" w:rsidR="003000E9" w:rsidRPr="000144D0" w:rsidRDefault="003000E9" w:rsidP="003000E9">
      <w:pPr>
        <w:rPr>
          <w:rFonts w:ascii="Arial" w:hAnsi="Arial" w:cs="Arial"/>
        </w:rPr>
      </w:pPr>
      <w:r w:rsidRPr="000144D0">
        <w:rPr>
          <w:rFonts w:ascii="Arial" w:hAnsi="Arial" w:cs="Arial"/>
          <w:b/>
          <w:bCs/>
        </w:rPr>
        <w:t>Circumstances Requiring Testing</w:t>
      </w:r>
    </w:p>
    <w:p w14:paraId="68A0158F" w14:textId="4767A714" w:rsidR="003000E9" w:rsidRPr="000144D0" w:rsidRDefault="003000E9" w:rsidP="00C12CD1">
      <w:pPr>
        <w:rPr>
          <w:rFonts w:ascii="Arial" w:hAnsi="Arial" w:cs="Arial"/>
        </w:rPr>
      </w:pPr>
      <w:r w:rsidRPr="000144D0">
        <w:rPr>
          <w:rFonts w:ascii="Arial" w:hAnsi="Arial" w:cs="Arial"/>
        </w:rPr>
        <w:t xml:space="preserve">Employees in safety-sensitive positions are required to submit to </w:t>
      </w:r>
      <w:r w:rsidR="00713E0E">
        <w:rPr>
          <w:rFonts w:ascii="Arial" w:hAnsi="Arial" w:cs="Arial"/>
        </w:rPr>
        <w:t>t</w:t>
      </w:r>
      <w:r w:rsidRPr="000144D0">
        <w:rPr>
          <w:rFonts w:ascii="Arial" w:hAnsi="Arial" w:cs="Arial"/>
        </w:rPr>
        <w:t>esting to determine the pr</w:t>
      </w:r>
      <w:r w:rsidR="009D6E71">
        <w:rPr>
          <w:rFonts w:ascii="Arial" w:hAnsi="Arial" w:cs="Arial"/>
        </w:rPr>
        <w:t>e</w:t>
      </w:r>
      <w:r w:rsidRPr="000144D0">
        <w:rPr>
          <w:rFonts w:ascii="Arial" w:hAnsi="Arial" w:cs="Arial"/>
        </w:rPr>
        <w:t xml:space="preserve">sence of drugs or alcohol under </w:t>
      </w:r>
      <w:r w:rsidR="009D6E71">
        <w:rPr>
          <w:rFonts w:ascii="Arial" w:hAnsi="Arial" w:cs="Arial"/>
        </w:rPr>
        <w:t>certain</w:t>
      </w:r>
      <w:r w:rsidRPr="000144D0">
        <w:rPr>
          <w:rFonts w:ascii="Arial" w:hAnsi="Arial" w:cs="Arial"/>
        </w:rPr>
        <w:t xml:space="preserve"> circumstances</w:t>
      </w:r>
      <w:r w:rsidR="009D6E71">
        <w:rPr>
          <w:rFonts w:ascii="Arial" w:hAnsi="Arial" w:cs="Arial"/>
        </w:rPr>
        <w:t>. Testing will be administered w</w:t>
      </w:r>
      <w:r w:rsidRPr="000144D0">
        <w:rPr>
          <w:rFonts w:ascii="Arial" w:hAnsi="Arial" w:cs="Arial"/>
        </w:rPr>
        <w:t>hen the employee is performing safety-sensitive functions and is involved in a</w:t>
      </w:r>
      <w:r w:rsidR="00084C27">
        <w:rPr>
          <w:rFonts w:ascii="Arial" w:hAnsi="Arial" w:cs="Arial"/>
        </w:rPr>
        <w:t xml:space="preserve"> work</w:t>
      </w:r>
      <w:r w:rsidR="00F37FA0">
        <w:rPr>
          <w:rFonts w:ascii="Arial" w:hAnsi="Arial" w:cs="Arial"/>
        </w:rPr>
        <w:t>-</w:t>
      </w:r>
      <w:r w:rsidR="00084C27">
        <w:rPr>
          <w:rFonts w:ascii="Arial" w:hAnsi="Arial" w:cs="Arial"/>
        </w:rPr>
        <w:t>related</w:t>
      </w:r>
      <w:r w:rsidRPr="000144D0">
        <w:rPr>
          <w:rFonts w:ascii="Arial" w:hAnsi="Arial" w:cs="Arial"/>
        </w:rPr>
        <w:t xml:space="preserve"> accident that results in either of the following:</w:t>
      </w:r>
    </w:p>
    <w:p w14:paraId="6067FC1E" w14:textId="6E818F57" w:rsidR="003000E9" w:rsidRPr="00C12CD1" w:rsidRDefault="00F915D3" w:rsidP="00C12C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t>D</w:t>
      </w:r>
      <w:r w:rsidR="003000E9" w:rsidRPr="00C12CD1">
        <w:rPr>
          <w:rFonts w:ascii="Arial" w:hAnsi="Arial" w:cs="Arial"/>
        </w:rPr>
        <w:t>eath.</w:t>
      </w:r>
    </w:p>
    <w:p w14:paraId="103FFDB1" w14:textId="6791304B" w:rsidR="003000E9" w:rsidRPr="00C12CD1" w:rsidRDefault="003000E9" w:rsidP="00C12C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t xml:space="preserve">A citation to the employee under state or local law for a moving traffic violation arising from </w:t>
      </w:r>
      <w:r w:rsidR="007615B2" w:rsidRPr="00C12CD1">
        <w:rPr>
          <w:rFonts w:ascii="Arial" w:hAnsi="Arial" w:cs="Arial"/>
        </w:rPr>
        <w:t>a work</w:t>
      </w:r>
      <w:r w:rsidR="00F37FA0" w:rsidRPr="00C12CD1">
        <w:rPr>
          <w:rFonts w:ascii="Arial" w:hAnsi="Arial" w:cs="Arial"/>
        </w:rPr>
        <w:t>-</w:t>
      </w:r>
      <w:r w:rsidR="007615B2" w:rsidRPr="00C12CD1">
        <w:rPr>
          <w:rFonts w:ascii="Arial" w:hAnsi="Arial" w:cs="Arial"/>
        </w:rPr>
        <w:t xml:space="preserve">related motor vehicle </w:t>
      </w:r>
      <w:r w:rsidRPr="00C12CD1">
        <w:rPr>
          <w:rFonts w:ascii="Arial" w:hAnsi="Arial" w:cs="Arial"/>
        </w:rPr>
        <w:t xml:space="preserve">accident and when any vehicle requires towing from the accident </w:t>
      </w:r>
      <w:proofErr w:type="gramStart"/>
      <w:r w:rsidRPr="00C12CD1">
        <w:rPr>
          <w:rFonts w:ascii="Arial" w:hAnsi="Arial" w:cs="Arial"/>
        </w:rPr>
        <w:t>scene</w:t>
      </w:r>
      <w:proofErr w:type="gramEnd"/>
      <w:r w:rsidRPr="00C12CD1">
        <w:rPr>
          <w:rFonts w:ascii="Arial" w:hAnsi="Arial" w:cs="Arial"/>
        </w:rPr>
        <w:t xml:space="preserve"> or any involved person requires treatment away from the accident scene.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880"/>
        <w:gridCol w:w="2695"/>
      </w:tblGrid>
      <w:tr w:rsidR="002C2972" w14:paraId="58EE5DBF" w14:textId="77777777" w:rsidTr="00C12CD1">
        <w:tc>
          <w:tcPr>
            <w:tcW w:w="3775" w:type="dxa"/>
          </w:tcPr>
          <w:p w14:paraId="5D16305B" w14:textId="3AA7DB31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Accident Involved</w:t>
            </w:r>
          </w:p>
        </w:tc>
        <w:tc>
          <w:tcPr>
            <w:tcW w:w="2880" w:type="dxa"/>
          </w:tcPr>
          <w:p w14:paraId="3749F909" w14:textId="7073F642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Citation Issued to the CMV Driver</w:t>
            </w:r>
          </w:p>
        </w:tc>
        <w:tc>
          <w:tcPr>
            <w:tcW w:w="2695" w:type="dxa"/>
          </w:tcPr>
          <w:p w14:paraId="2BE3B047" w14:textId="1AE1A689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Must Be Performed by Employer</w:t>
            </w:r>
          </w:p>
        </w:tc>
      </w:tr>
      <w:tr w:rsidR="002C2972" w14:paraId="6125A3BA" w14:textId="77777777" w:rsidTr="00C12CD1">
        <w:tc>
          <w:tcPr>
            <w:tcW w:w="3775" w:type="dxa"/>
          </w:tcPr>
          <w:p w14:paraId="4B8F4CF1" w14:textId="47F69266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</w:t>
            </w:r>
            <w:r w:rsidR="009D6E71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atality</w:t>
            </w:r>
          </w:p>
        </w:tc>
        <w:tc>
          <w:tcPr>
            <w:tcW w:w="2880" w:type="dxa"/>
          </w:tcPr>
          <w:p w14:paraId="53878A3F" w14:textId="04BF7840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695" w:type="dxa"/>
          </w:tcPr>
          <w:p w14:paraId="11CF84C8" w14:textId="441DD609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2C2972" w14:paraId="16E4FA0A" w14:textId="77777777" w:rsidTr="00C12CD1">
        <w:tc>
          <w:tcPr>
            <w:tcW w:w="3775" w:type="dxa"/>
          </w:tcPr>
          <w:p w14:paraId="7C0703D0" w14:textId="595B3522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</w:t>
            </w:r>
            <w:r w:rsidR="009D6E71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atality </w:t>
            </w:r>
          </w:p>
        </w:tc>
        <w:tc>
          <w:tcPr>
            <w:tcW w:w="2880" w:type="dxa"/>
          </w:tcPr>
          <w:p w14:paraId="342A3C52" w14:textId="563C2371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695" w:type="dxa"/>
          </w:tcPr>
          <w:p w14:paraId="5358F612" w14:textId="247B42C0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2C2972" w14:paraId="69748302" w14:textId="77777777" w:rsidTr="00C12CD1">
        <w:tc>
          <w:tcPr>
            <w:tcW w:w="3775" w:type="dxa"/>
          </w:tcPr>
          <w:p w14:paraId="695921E1" w14:textId="2C1AEB79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Bodily </w:t>
            </w:r>
            <w:r w:rsidR="009D6E7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njury with </w:t>
            </w:r>
            <w:r w:rsidR="009D6E7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mmediate </w:t>
            </w:r>
            <w:r w:rsidR="009D6E7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edical </w:t>
            </w:r>
            <w:r w:rsidR="009D6E7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reatment </w:t>
            </w:r>
            <w:r w:rsidR="009D6E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way from the </w:t>
            </w:r>
            <w:r w:rsidR="009D6E7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cene</w:t>
            </w:r>
          </w:p>
        </w:tc>
        <w:tc>
          <w:tcPr>
            <w:tcW w:w="2880" w:type="dxa"/>
          </w:tcPr>
          <w:p w14:paraId="1B75A32F" w14:textId="112571CB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695" w:type="dxa"/>
          </w:tcPr>
          <w:p w14:paraId="0B0211E0" w14:textId="0A5CA3E7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2C2972" w14:paraId="18549F41" w14:textId="77777777" w:rsidTr="00C12CD1">
        <w:tc>
          <w:tcPr>
            <w:tcW w:w="3775" w:type="dxa"/>
          </w:tcPr>
          <w:p w14:paraId="35D2CC41" w14:textId="18FB8F0C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Bodily </w:t>
            </w:r>
            <w:r w:rsidR="009D6E7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njury with </w:t>
            </w:r>
            <w:r w:rsidR="009D6E7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mmediate </w:t>
            </w:r>
            <w:r w:rsidR="009D6E7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edical </w:t>
            </w:r>
            <w:r w:rsidR="009D6E7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reatment </w:t>
            </w:r>
            <w:r w:rsidR="009D6E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way from the </w:t>
            </w:r>
            <w:r w:rsidR="009D6E7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cene</w:t>
            </w:r>
          </w:p>
        </w:tc>
        <w:tc>
          <w:tcPr>
            <w:tcW w:w="2880" w:type="dxa"/>
          </w:tcPr>
          <w:p w14:paraId="72F29BFF" w14:textId="29D35BA3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695" w:type="dxa"/>
          </w:tcPr>
          <w:p w14:paraId="6057834A" w14:textId="4495FC28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C2972" w14:paraId="4CDAC123" w14:textId="77777777" w:rsidTr="00C12CD1">
        <w:tc>
          <w:tcPr>
            <w:tcW w:w="3775" w:type="dxa"/>
          </w:tcPr>
          <w:p w14:paraId="016E2D46" w14:textId="4F4E6506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Disabling </w:t>
            </w:r>
            <w:r w:rsidR="009D6E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amage to </w:t>
            </w:r>
            <w:r w:rsidR="009D6E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ny </w:t>
            </w:r>
            <w:r w:rsidR="009D6E7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otor </w:t>
            </w:r>
            <w:r w:rsidR="009D6E7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ehicle </w:t>
            </w:r>
            <w:r w:rsidR="009D6E7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equiring </w:t>
            </w:r>
            <w:r w:rsidR="009D6E7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ow </w:t>
            </w:r>
            <w:r w:rsidR="009D6E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way</w:t>
            </w:r>
          </w:p>
        </w:tc>
        <w:tc>
          <w:tcPr>
            <w:tcW w:w="2880" w:type="dxa"/>
          </w:tcPr>
          <w:p w14:paraId="7ACB93CB" w14:textId="54CA1545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695" w:type="dxa"/>
          </w:tcPr>
          <w:p w14:paraId="6EF1C9E1" w14:textId="304A21B8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2C2972" w14:paraId="060EB323" w14:textId="77777777" w:rsidTr="00C12CD1">
        <w:tc>
          <w:tcPr>
            <w:tcW w:w="3775" w:type="dxa"/>
          </w:tcPr>
          <w:p w14:paraId="7F30340D" w14:textId="0E9F0114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Disabling </w:t>
            </w:r>
            <w:r w:rsidR="009D6E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amage to </w:t>
            </w:r>
            <w:r w:rsidR="009D6E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ny </w:t>
            </w:r>
            <w:r w:rsidR="009D6E7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otor </w:t>
            </w:r>
            <w:r w:rsidR="009D6E7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ehicle </w:t>
            </w:r>
            <w:r w:rsidR="009D6E7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equiring </w:t>
            </w:r>
            <w:r w:rsidR="009D6E7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ow </w:t>
            </w:r>
            <w:r w:rsidR="009D6E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way</w:t>
            </w:r>
          </w:p>
        </w:tc>
        <w:tc>
          <w:tcPr>
            <w:tcW w:w="2880" w:type="dxa"/>
          </w:tcPr>
          <w:p w14:paraId="7749DCD7" w14:textId="659F0A3C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695" w:type="dxa"/>
          </w:tcPr>
          <w:p w14:paraId="67AA29B3" w14:textId="5C335D62" w:rsidR="002C2972" w:rsidRDefault="002C2972" w:rsidP="002C2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176CB70A" w14:textId="029B5CE1" w:rsidR="002C2972" w:rsidRPr="00C12CD1" w:rsidRDefault="002C2972" w:rsidP="00C12CD1">
      <w:pPr>
        <w:rPr>
          <w:rFonts w:ascii="Arial" w:hAnsi="Arial" w:cs="Arial"/>
          <w:sz w:val="18"/>
          <w:szCs w:val="18"/>
        </w:rPr>
      </w:pPr>
      <w:r w:rsidRPr="00C12CD1">
        <w:rPr>
          <w:rFonts w:ascii="Arial" w:hAnsi="Arial" w:cs="Arial"/>
          <w:sz w:val="18"/>
          <w:szCs w:val="18"/>
        </w:rPr>
        <w:t xml:space="preserve">Source: </w:t>
      </w:r>
      <w:hyperlink r:id="rId5" w:history="1">
        <w:r w:rsidRPr="00C12CD1">
          <w:rPr>
            <w:rStyle w:val="Hyperlink"/>
            <w:rFonts w:ascii="Arial" w:hAnsi="Arial" w:cs="Arial"/>
            <w:sz w:val="18"/>
            <w:szCs w:val="18"/>
            <w:u w:val="none"/>
          </w:rPr>
          <w:t>Federal Motor Carrier Safety Administration (FMCSA)</w:t>
        </w:r>
      </w:hyperlink>
      <w:r w:rsidR="009D6E71">
        <w:rPr>
          <w:rFonts w:ascii="Arial" w:hAnsi="Arial" w:cs="Arial"/>
          <w:sz w:val="18"/>
          <w:szCs w:val="18"/>
        </w:rPr>
        <w:t>.</w:t>
      </w:r>
      <w:r w:rsidRPr="00C12CD1">
        <w:rPr>
          <w:rFonts w:ascii="Arial" w:hAnsi="Arial" w:cs="Arial"/>
          <w:sz w:val="18"/>
          <w:szCs w:val="18"/>
        </w:rPr>
        <w:t xml:space="preserve"> </w:t>
      </w:r>
    </w:p>
    <w:p w14:paraId="4ED97A6A" w14:textId="4C8579CE" w:rsidR="0060167B" w:rsidRPr="0060167B" w:rsidRDefault="0060167B" w:rsidP="006016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driver </w:t>
      </w:r>
      <w:r w:rsidRPr="0060167B">
        <w:rPr>
          <w:rFonts w:ascii="Arial" w:hAnsi="Arial" w:cs="Arial"/>
        </w:rPr>
        <w:t>is performing a safety-sensitive function at the following times:</w:t>
      </w:r>
    </w:p>
    <w:p w14:paraId="3D5C0586" w14:textId="00BF246B" w:rsidR="00BD21F3" w:rsidRPr="00C12CD1" w:rsidRDefault="00BD21F3" w:rsidP="00C12C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t xml:space="preserve">All time </w:t>
      </w:r>
      <w:r w:rsidR="009D6E71">
        <w:rPr>
          <w:rFonts w:ascii="Arial" w:hAnsi="Arial" w:cs="Arial"/>
        </w:rPr>
        <w:t xml:space="preserve">spent </w:t>
      </w:r>
      <w:r w:rsidR="00B138D7">
        <w:rPr>
          <w:rFonts w:ascii="Arial" w:hAnsi="Arial" w:cs="Arial"/>
        </w:rPr>
        <w:t>on</w:t>
      </w:r>
      <w:r w:rsidRPr="00C12CD1">
        <w:rPr>
          <w:rFonts w:ascii="Arial" w:hAnsi="Arial" w:cs="Arial"/>
        </w:rPr>
        <w:t xml:space="preserve"> employer </w:t>
      </w:r>
      <w:r w:rsidR="00B138D7">
        <w:rPr>
          <w:rFonts w:ascii="Arial" w:hAnsi="Arial" w:cs="Arial"/>
        </w:rPr>
        <w:t>property</w:t>
      </w:r>
      <w:r w:rsidRPr="00C12CD1">
        <w:rPr>
          <w:rFonts w:ascii="Arial" w:hAnsi="Arial" w:cs="Arial"/>
        </w:rPr>
        <w:t xml:space="preserve"> or other property or on any public property waiting to be </w:t>
      </w:r>
      <w:r w:rsidR="00CD077A" w:rsidRPr="00CD077A">
        <w:rPr>
          <w:rFonts w:ascii="Arial" w:hAnsi="Arial" w:cs="Arial"/>
        </w:rPr>
        <w:t>dispatched unless</w:t>
      </w:r>
      <w:r w:rsidRPr="00C12CD1">
        <w:rPr>
          <w:rFonts w:ascii="Arial" w:hAnsi="Arial" w:cs="Arial"/>
        </w:rPr>
        <w:t xml:space="preserve"> the driver has been relieved from duty by the employer. </w:t>
      </w:r>
    </w:p>
    <w:p w14:paraId="2FA176E8" w14:textId="3FE4BEF7" w:rsidR="00BD21F3" w:rsidRPr="00C12CD1" w:rsidRDefault="00BD21F3" w:rsidP="00C12C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t xml:space="preserve">All time </w:t>
      </w:r>
      <w:r w:rsidR="009D6E71">
        <w:rPr>
          <w:rFonts w:ascii="Arial" w:hAnsi="Arial" w:cs="Arial"/>
        </w:rPr>
        <w:t xml:space="preserve">spent </w:t>
      </w:r>
      <w:r w:rsidRPr="00C12CD1">
        <w:rPr>
          <w:rFonts w:ascii="Arial" w:hAnsi="Arial" w:cs="Arial"/>
        </w:rPr>
        <w:t>inspecting equipment or otherwise inspecting, servicing or conditioning any comme</w:t>
      </w:r>
      <w:r w:rsidR="00B138D7" w:rsidRPr="00C12CD1">
        <w:rPr>
          <w:rFonts w:ascii="Arial" w:hAnsi="Arial" w:cs="Arial"/>
        </w:rPr>
        <w:t>rcial motor vehicle at any time.</w:t>
      </w:r>
    </w:p>
    <w:p w14:paraId="2E03A1F9" w14:textId="3C6EE587" w:rsidR="00BD21F3" w:rsidRPr="00B138D7" w:rsidRDefault="00BD21F3" w:rsidP="00C12C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t>All time spent at the driving controls of a commer</w:t>
      </w:r>
      <w:r w:rsidR="00B138D7" w:rsidRPr="00C12CD1">
        <w:rPr>
          <w:rFonts w:ascii="Arial" w:hAnsi="Arial" w:cs="Arial"/>
        </w:rPr>
        <w:t>cial motor vehicle in operation.</w:t>
      </w:r>
    </w:p>
    <w:p w14:paraId="5AF0AF8A" w14:textId="67798832" w:rsidR="00BD21F3" w:rsidRPr="00C12CD1" w:rsidRDefault="00BD21F3" w:rsidP="00C12C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t>All time</w:t>
      </w:r>
      <w:r w:rsidR="009D6E71">
        <w:rPr>
          <w:rFonts w:ascii="Arial" w:hAnsi="Arial" w:cs="Arial"/>
        </w:rPr>
        <w:t xml:space="preserve"> spent</w:t>
      </w:r>
      <w:r w:rsidRPr="00C12CD1">
        <w:rPr>
          <w:rFonts w:ascii="Arial" w:hAnsi="Arial" w:cs="Arial"/>
        </w:rPr>
        <w:t>, other than driving time, in or upon any commercial motor vehicle except time s</w:t>
      </w:r>
      <w:r w:rsidR="00B138D7" w:rsidRPr="00C12CD1">
        <w:rPr>
          <w:rFonts w:ascii="Arial" w:hAnsi="Arial" w:cs="Arial"/>
        </w:rPr>
        <w:t xml:space="preserve">pent resting in a sleeper berth. </w:t>
      </w:r>
    </w:p>
    <w:p w14:paraId="1D67E829" w14:textId="2DE4EC96" w:rsidR="00BD21F3" w:rsidRPr="00C12CD1" w:rsidRDefault="00BD21F3" w:rsidP="00C12C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lastRenderedPageBreak/>
        <w:t xml:space="preserve">All time </w:t>
      </w:r>
      <w:r w:rsidR="009D6E71">
        <w:rPr>
          <w:rFonts w:ascii="Arial" w:hAnsi="Arial" w:cs="Arial"/>
        </w:rPr>
        <w:t xml:space="preserve">spent </w:t>
      </w:r>
      <w:r w:rsidRPr="00C12CD1">
        <w:rPr>
          <w:rFonts w:ascii="Arial" w:hAnsi="Arial" w:cs="Arial"/>
        </w:rPr>
        <w:t>loading or unloading a vehicle, supervising or assisting in the loading or unloading, attending a vehicle being loaded or unloaded, remaining in readiness to operate the vehicle, or giving or receiving receipts for s</w:t>
      </w:r>
      <w:r w:rsidR="00B138D7" w:rsidRPr="00C12CD1">
        <w:rPr>
          <w:rFonts w:ascii="Arial" w:hAnsi="Arial" w:cs="Arial"/>
        </w:rPr>
        <w:t xml:space="preserve">hipments loaded or unloaded. </w:t>
      </w:r>
    </w:p>
    <w:p w14:paraId="10016521" w14:textId="4FE85206" w:rsidR="0060167B" w:rsidRPr="00C12CD1" w:rsidRDefault="00BD21F3" w:rsidP="00C12C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12CD1">
        <w:rPr>
          <w:rFonts w:ascii="Arial" w:hAnsi="Arial" w:cs="Arial"/>
        </w:rPr>
        <w:t xml:space="preserve">All time </w:t>
      </w:r>
      <w:r w:rsidR="009D6E71">
        <w:rPr>
          <w:rFonts w:ascii="Arial" w:hAnsi="Arial" w:cs="Arial"/>
        </w:rPr>
        <w:t xml:space="preserve">spent </w:t>
      </w:r>
      <w:r w:rsidRPr="00C12CD1">
        <w:rPr>
          <w:rFonts w:ascii="Arial" w:hAnsi="Arial" w:cs="Arial"/>
        </w:rPr>
        <w:t>repairing, obtaining assistance</w:t>
      </w:r>
      <w:r w:rsidR="009D6E71">
        <w:rPr>
          <w:rFonts w:ascii="Arial" w:hAnsi="Arial" w:cs="Arial"/>
        </w:rPr>
        <w:t xml:space="preserve"> for</w:t>
      </w:r>
      <w:r w:rsidRPr="00C12CD1">
        <w:rPr>
          <w:rFonts w:ascii="Arial" w:hAnsi="Arial" w:cs="Arial"/>
        </w:rPr>
        <w:t xml:space="preserve"> or remaining in attendance on a disabled vehicle.</w:t>
      </w:r>
    </w:p>
    <w:p w14:paraId="7A6B041E" w14:textId="77777777" w:rsidR="003000E9" w:rsidRPr="000144D0" w:rsidRDefault="003000E9" w:rsidP="003000E9">
      <w:pPr>
        <w:rPr>
          <w:rFonts w:ascii="Arial" w:hAnsi="Arial" w:cs="Arial"/>
        </w:rPr>
      </w:pPr>
      <w:r w:rsidRPr="000144D0">
        <w:rPr>
          <w:rFonts w:ascii="Arial" w:hAnsi="Arial" w:cs="Arial"/>
          <w:b/>
          <w:bCs/>
        </w:rPr>
        <w:t>Enforcement</w:t>
      </w:r>
    </w:p>
    <w:p w14:paraId="7689DE91" w14:textId="6D99425C" w:rsidR="003000E9" w:rsidRPr="000144D0" w:rsidRDefault="003000E9" w:rsidP="003000E9">
      <w:pPr>
        <w:rPr>
          <w:rFonts w:ascii="Arial" w:hAnsi="Arial" w:cs="Arial"/>
        </w:rPr>
      </w:pPr>
      <w:r w:rsidRPr="000144D0">
        <w:rPr>
          <w:rFonts w:ascii="Arial" w:hAnsi="Arial" w:cs="Arial"/>
        </w:rPr>
        <w:t>An employee who refuses to consent and submit to a test</w:t>
      </w:r>
      <w:r w:rsidR="00D301E2" w:rsidRPr="000144D0">
        <w:rPr>
          <w:rFonts w:ascii="Arial" w:hAnsi="Arial" w:cs="Arial"/>
        </w:rPr>
        <w:t xml:space="preserve"> </w:t>
      </w:r>
      <w:r w:rsidRPr="000144D0">
        <w:rPr>
          <w:rFonts w:ascii="Arial" w:hAnsi="Arial" w:cs="Arial"/>
        </w:rPr>
        <w:t xml:space="preserve">when requested will be subject to disciplinary action, including termination, pursuant to the company’s discipline and dismissal procedures. Refusal to submit includes failure to provide adequate breath for testing without a valid medical explanation after receiving notice of the requirement for breath testing, failure to provide adequate urine for controlled substances testing without a valid medical explanation </w:t>
      </w:r>
      <w:r w:rsidR="00F37FA0">
        <w:rPr>
          <w:rFonts w:ascii="Arial" w:hAnsi="Arial" w:cs="Arial"/>
        </w:rPr>
        <w:t xml:space="preserve">after </w:t>
      </w:r>
      <w:r w:rsidRPr="000144D0">
        <w:rPr>
          <w:rFonts w:ascii="Arial" w:hAnsi="Arial" w:cs="Arial"/>
        </w:rPr>
        <w:t>receiving notice of the requirement for urine testing, engaging in conduct that clearly obstructs the testing process, and leaving the scene of an on-the-job accident.</w:t>
      </w:r>
    </w:p>
    <w:p w14:paraId="222C61A1" w14:textId="77777777" w:rsidR="003000E9" w:rsidRPr="000144D0" w:rsidRDefault="003000E9" w:rsidP="003000E9">
      <w:pPr>
        <w:rPr>
          <w:rFonts w:ascii="Arial" w:hAnsi="Arial" w:cs="Arial"/>
        </w:rPr>
      </w:pPr>
      <w:r w:rsidRPr="000144D0">
        <w:rPr>
          <w:rFonts w:ascii="Arial" w:hAnsi="Arial" w:cs="Arial"/>
          <w:b/>
          <w:bCs/>
        </w:rPr>
        <w:t>Confidentiality</w:t>
      </w:r>
    </w:p>
    <w:p w14:paraId="1BAA2832" w14:textId="2B93C114" w:rsidR="003000E9" w:rsidRPr="000144D0" w:rsidRDefault="003000E9" w:rsidP="003000E9">
      <w:pPr>
        <w:rPr>
          <w:rFonts w:ascii="Arial" w:hAnsi="Arial" w:cs="Arial"/>
        </w:rPr>
      </w:pPr>
      <w:r w:rsidRPr="000144D0">
        <w:rPr>
          <w:rFonts w:ascii="Arial" w:hAnsi="Arial" w:cs="Arial"/>
        </w:rPr>
        <w:t>All information from an employee’s drug and alcohol tests will be confidential to the extent required by law.</w:t>
      </w:r>
    </w:p>
    <w:p w14:paraId="48FA12AB" w14:textId="77777777" w:rsidR="003000E9" w:rsidRPr="000144D0" w:rsidRDefault="003000E9" w:rsidP="00C12CD1">
      <w:pPr>
        <w:spacing w:after="0" w:line="240" w:lineRule="auto"/>
        <w:jc w:val="center"/>
        <w:rPr>
          <w:rFonts w:ascii="Arial" w:hAnsi="Arial" w:cs="Arial"/>
        </w:rPr>
      </w:pPr>
    </w:p>
    <w:sectPr w:rsidR="003000E9" w:rsidRPr="0001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72C"/>
    <w:multiLevelType w:val="hybridMultilevel"/>
    <w:tmpl w:val="195A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A4B"/>
    <w:multiLevelType w:val="multilevel"/>
    <w:tmpl w:val="3DE8675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6DD03A9"/>
    <w:multiLevelType w:val="multilevel"/>
    <w:tmpl w:val="117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F50EFD"/>
    <w:multiLevelType w:val="hybridMultilevel"/>
    <w:tmpl w:val="84F0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57D5"/>
    <w:multiLevelType w:val="multilevel"/>
    <w:tmpl w:val="A682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504484"/>
    <w:multiLevelType w:val="hybridMultilevel"/>
    <w:tmpl w:val="6A3A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88648">
    <w:abstractNumId w:val="4"/>
  </w:num>
  <w:num w:numId="2" w16cid:durableId="1271930950">
    <w:abstractNumId w:val="1"/>
  </w:num>
  <w:num w:numId="3" w16cid:durableId="771821327">
    <w:abstractNumId w:val="2"/>
  </w:num>
  <w:num w:numId="4" w16cid:durableId="1889292751">
    <w:abstractNumId w:val="3"/>
  </w:num>
  <w:num w:numId="5" w16cid:durableId="2051952426">
    <w:abstractNumId w:val="5"/>
  </w:num>
  <w:num w:numId="6" w16cid:durableId="1012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E9"/>
    <w:rsid w:val="000144D0"/>
    <w:rsid w:val="000804D9"/>
    <w:rsid w:val="00084C27"/>
    <w:rsid w:val="00220B95"/>
    <w:rsid w:val="002C2972"/>
    <w:rsid w:val="003000E9"/>
    <w:rsid w:val="0054284A"/>
    <w:rsid w:val="00563231"/>
    <w:rsid w:val="0060167B"/>
    <w:rsid w:val="00713E0E"/>
    <w:rsid w:val="007615B2"/>
    <w:rsid w:val="009D6E71"/>
    <w:rsid w:val="00AB4100"/>
    <w:rsid w:val="00B138D7"/>
    <w:rsid w:val="00BD21F3"/>
    <w:rsid w:val="00C12CD1"/>
    <w:rsid w:val="00CD077A"/>
    <w:rsid w:val="00D301E2"/>
    <w:rsid w:val="00E7372C"/>
    <w:rsid w:val="00F37FA0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4191"/>
  <w15:chartTrackingRefBased/>
  <w15:docId w15:val="{9F4E7A6E-A961-426E-8B4F-6DE0F3C4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E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1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297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0167B"/>
    <w:pPr>
      <w:ind w:left="720"/>
      <w:contextualSpacing/>
    </w:pPr>
  </w:style>
  <w:style w:type="paragraph" w:styleId="Revision">
    <w:name w:val="Revision"/>
    <w:hidden/>
    <w:uiPriority w:val="99"/>
    <w:semiHidden/>
    <w:rsid w:val="009D6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24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mcsa.dot.gov/regulations/drug-alcohol-testing/what-tests-are-required-and-when-does-testing-occ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2023-04-19T17:41:00Z</dcterms:created>
  <dcterms:modified xsi:type="dcterms:W3CDTF">2023-04-19T17:41:00Z</dcterms:modified>
</cp:coreProperties>
</file>