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621C6A" w14:textId="709D84E7" w:rsidR="004B42FB" w:rsidRPr="00FF3F34" w:rsidRDefault="004B42FB">
      <w:pPr>
        <w:rPr>
          <w:rFonts w:ascii="Arial" w:hAnsi="Arial" w:cs="Arial"/>
          <w:b/>
          <w:bCs/>
        </w:rPr>
      </w:pPr>
      <w:r w:rsidRPr="00FF3F34">
        <w:rPr>
          <w:rFonts w:ascii="Arial" w:hAnsi="Arial" w:cs="Arial"/>
          <w:b/>
          <w:bCs/>
        </w:rPr>
        <w:t>Employee Suggestion Program Policy</w:t>
      </w:r>
    </w:p>
    <w:p w14:paraId="72621C6B" w14:textId="77777777" w:rsidR="00FD7CE7" w:rsidRDefault="00FD7CE7" w:rsidP="004B42FB">
      <w:pPr>
        <w:rPr>
          <w:rFonts w:ascii="Arial" w:hAnsi="Arial" w:cs="Arial"/>
          <w:b/>
          <w:bCs/>
        </w:rPr>
      </w:pPr>
    </w:p>
    <w:p w14:paraId="72621C6C" w14:textId="2028A470" w:rsidR="004B42FB" w:rsidRPr="004B42FB" w:rsidRDefault="004B42FB" w:rsidP="004B42FB">
      <w:pPr>
        <w:rPr>
          <w:rFonts w:ascii="Arial" w:hAnsi="Arial" w:cs="Arial"/>
        </w:rPr>
      </w:pPr>
      <w:r w:rsidRPr="004B42FB">
        <w:rPr>
          <w:rFonts w:ascii="Arial" w:hAnsi="Arial" w:cs="Arial"/>
          <w:b/>
          <w:bCs/>
        </w:rPr>
        <w:t xml:space="preserve">POLICY </w:t>
      </w:r>
      <w:r w:rsidRPr="004B42FB">
        <w:rPr>
          <w:rFonts w:ascii="Arial" w:hAnsi="Arial" w:cs="Arial"/>
        </w:rPr>
        <w:br/>
      </w:r>
      <w:r w:rsidRPr="004B42FB">
        <w:rPr>
          <w:rFonts w:ascii="Arial" w:hAnsi="Arial" w:cs="Arial"/>
        </w:rPr>
        <w:br/>
        <w:t xml:space="preserve">[Company </w:t>
      </w:r>
      <w:r w:rsidR="00942F48">
        <w:rPr>
          <w:rFonts w:ascii="Arial" w:hAnsi="Arial" w:cs="Arial"/>
        </w:rPr>
        <w:t>N</w:t>
      </w:r>
      <w:r w:rsidRPr="004B42FB">
        <w:rPr>
          <w:rFonts w:ascii="Arial" w:hAnsi="Arial" w:cs="Arial"/>
        </w:rPr>
        <w:t>ame]</w:t>
      </w:r>
      <w:r w:rsidR="00493AFE">
        <w:rPr>
          <w:rFonts w:ascii="Arial" w:hAnsi="Arial" w:cs="Arial"/>
        </w:rPr>
        <w:t>’s</w:t>
      </w:r>
      <w:r w:rsidRPr="004B42FB">
        <w:rPr>
          <w:rFonts w:ascii="Arial" w:hAnsi="Arial" w:cs="Arial"/>
        </w:rPr>
        <w:t xml:space="preserve"> </w:t>
      </w:r>
      <w:r w:rsidR="00493AFE">
        <w:rPr>
          <w:rFonts w:ascii="Arial" w:hAnsi="Arial" w:cs="Arial"/>
        </w:rPr>
        <w:t>e</w:t>
      </w:r>
      <w:r w:rsidRPr="004B42FB">
        <w:rPr>
          <w:rFonts w:ascii="Arial" w:hAnsi="Arial" w:cs="Arial"/>
        </w:rPr>
        <w:t xml:space="preserve">mployee </w:t>
      </w:r>
      <w:r w:rsidR="00493AFE">
        <w:rPr>
          <w:rFonts w:ascii="Arial" w:hAnsi="Arial" w:cs="Arial"/>
        </w:rPr>
        <w:t>s</w:t>
      </w:r>
      <w:r w:rsidRPr="004B42FB">
        <w:rPr>
          <w:rFonts w:ascii="Arial" w:hAnsi="Arial" w:cs="Arial"/>
        </w:rPr>
        <w:t xml:space="preserve">uggestion </w:t>
      </w:r>
      <w:r w:rsidR="00493AFE">
        <w:rPr>
          <w:rFonts w:ascii="Arial" w:hAnsi="Arial" w:cs="Arial"/>
        </w:rPr>
        <w:t>p</w:t>
      </w:r>
      <w:r w:rsidRPr="004B42FB">
        <w:rPr>
          <w:rFonts w:ascii="Arial" w:hAnsi="Arial" w:cs="Arial"/>
        </w:rPr>
        <w:t xml:space="preserve">rogram (ESP) encourages all employees to </w:t>
      </w:r>
      <w:r w:rsidR="00942F48">
        <w:rPr>
          <w:rFonts w:ascii="Arial" w:hAnsi="Arial" w:cs="Arial"/>
        </w:rPr>
        <w:t>offer</w:t>
      </w:r>
      <w:r w:rsidRPr="004B42FB">
        <w:rPr>
          <w:rFonts w:ascii="Arial" w:hAnsi="Arial" w:cs="Arial"/>
        </w:rPr>
        <w:t xml:space="preserve"> suggestions that improve the performance and quality of their work while achieving [Company </w:t>
      </w:r>
      <w:r w:rsidR="00942F48">
        <w:rPr>
          <w:rFonts w:ascii="Arial" w:hAnsi="Arial" w:cs="Arial"/>
        </w:rPr>
        <w:t>N</w:t>
      </w:r>
      <w:r w:rsidRPr="004B42FB">
        <w:rPr>
          <w:rFonts w:ascii="Arial" w:hAnsi="Arial" w:cs="Arial"/>
        </w:rPr>
        <w:t xml:space="preserve">ame] objectives. </w:t>
      </w:r>
      <w:r w:rsidR="00942F48">
        <w:rPr>
          <w:rFonts w:ascii="Arial" w:hAnsi="Arial" w:cs="Arial"/>
        </w:rPr>
        <w:t>S</w:t>
      </w:r>
      <w:r w:rsidRPr="004B42FB">
        <w:rPr>
          <w:rFonts w:ascii="Arial" w:hAnsi="Arial" w:cs="Arial"/>
        </w:rPr>
        <w:t>uggestions that identify specific problems and propose suitable solutions to enhance the efficiency and effectiveness through increased productivity, reduced costs, improved and safer working conditions, conservation of resources</w:t>
      </w:r>
      <w:r w:rsidR="00A30D31">
        <w:rPr>
          <w:rFonts w:ascii="Arial" w:hAnsi="Arial" w:cs="Arial"/>
        </w:rPr>
        <w:t>,</w:t>
      </w:r>
      <w:r w:rsidRPr="004B42FB">
        <w:rPr>
          <w:rFonts w:ascii="Arial" w:hAnsi="Arial" w:cs="Arial"/>
        </w:rPr>
        <w:t xml:space="preserve"> and </w:t>
      </w:r>
      <w:r w:rsidR="00942F48">
        <w:rPr>
          <w:rFonts w:ascii="Arial" w:hAnsi="Arial" w:cs="Arial"/>
        </w:rPr>
        <w:t>enhanced</w:t>
      </w:r>
      <w:r w:rsidRPr="004B42FB">
        <w:rPr>
          <w:rFonts w:ascii="Arial" w:hAnsi="Arial" w:cs="Arial"/>
        </w:rPr>
        <w:t xml:space="preserve"> public services are considered.</w:t>
      </w:r>
    </w:p>
    <w:p w14:paraId="72621C6D" w14:textId="52DDA21B" w:rsidR="004B42FB" w:rsidRPr="004B42FB" w:rsidRDefault="004B42FB" w:rsidP="004B42FB">
      <w:pPr>
        <w:rPr>
          <w:rFonts w:ascii="Arial" w:hAnsi="Arial" w:cs="Arial"/>
        </w:rPr>
      </w:pPr>
      <w:r w:rsidRPr="004B42FB">
        <w:rPr>
          <w:rFonts w:ascii="Arial" w:hAnsi="Arial" w:cs="Arial"/>
          <w:b/>
          <w:bCs/>
        </w:rPr>
        <w:t>PROCEDURES</w:t>
      </w:r>
      <w:r w:rsidRPr="004B42FB">
        <w:rPr>
          <w:rFonts w:ascii="Arial" w:hAnsi="Arial" w:cs="Arial"/>
        </w:rPr>
        <w:t xml:space="preserve"> </w:t>
      </w:r>
      <w:r w:rsidRPr="004B42FB">
        <w:rPr>
          <w:rFonts w:ascii="Arial" w:hAnsi="Arial" w:cs="Arial"/>
        </w:rPr>
        <w:br/>
      </w:r>
      <w:r w:rsidRPr="004B42FB">
        <w:rPr>
          <w:rFonts w:ascii="Arial" w:hAnsi="Arial" w:cs="Arial"/>
        </w:rPr>
        <w:br/>
      </w:r>
      <w:r w:rsidR="00493AFE">
        <w:rPr>
          <w:rFonts w:ascii="Arial" w:hAnsi="Arial" w:cs="Arial"/>
        </w:rPr>
        <w:t>The h</w:t>
      </w:r>
      <w:r w:rsidRPr="004B42FB">
        <w:rPr>
          <w:rFonts w:ascii="Arial" w:hAnsi="Arial" w:cs="Arial"/>
        </w:rPr>
        <w:t xml:space="preserve">uman </w:t>
      </w:r>
      <w:r w:rsidR="00493AFE">
        <w:rPr>
          <w:rFonts w:ascii="Arial" w:hAnsi="Arial" w:cs="Arial"/>
        </w:rPr>
        <w:t>r</w:t>
      </w:r>
      <w:r w:rsidRPr="004B42FB">
        <w:rPr>
          <w:rFonts w:ascii="Arial" w:hAnsi="Arial" w:cs="Arial"/>
        </w:rPr>
        <w:t>esources</w:t>
      </w:r>
      <w:r w:rsidR="00493AFE">
        <w:rPr>
          <w:rFonts w:ascii="Arial" w:hAnsi="Arial" w:cs="Arial"/>
        </w:rPr>
        <w:t xml:space="preserve"> (HR) department</w:t>
      </w:r>
      <w:r w:rsidRPr="004B42FB">
        <w:rPr>
          <w:rFonts w:ascii="Arial" w:hAnsi="Arial" w:cs="Arial"/>
        </w:rPr>
        <w:t xml:space="preserve"> administers the ESP by receiving suggestions, overseeing the evaluation process to ensure fair and appropriate </w:t>
      </w:r>
      <w:r w:rsidR="00942F48">
        <w:rPr>
          <w:rFonts w:ascii="Arial" w:hAnsi="Arial" w:cs="Arial"/>
        </w:rPr>
        <w:t>consideration</w:t>
      </w:r>
      <w:r w:rsidR="00493AFE">
        <w:rPr>
          <w:rFonts w:ascii="Arial" w:hAnsi="Arial" w:cs="Arial"/>
        </w:rPr>
        <w:t>,</w:t>
      </w:r>
      <w:r w:rsidRPr="004B42FB">
        <w:rPr>
          <w:rFonts w:ascii="Arial" w:hAnsi="Arial" w:cs="Arial"/>
        </w:rPr>
        <w:t xml:space="preserve"> and approving the issuance of awards. </w:t>
      </w:r>
      <w:r w:rsidR="00942F48">
        <w:rPr>
          <w:rFonts w:ascii="Arial" w:hAnsi="Arial" w:cs="Arial"/>
        </w:rPr>
        <w:t>S</w:t>
      </w:r>
      <w:r w:rsidRPr="004B42FB">
        <w:rPr>
          <w:rFonts w:ascii="Arial" w:hAnsi="Arial" w:cs="Arial"/>
        </w:rPr>
        <w:t>uggestion</w:t>
      </w:r>
      <w:r w:rsidR="00942F48">
        <w:rPr>
          <w:rFonts w:ascii="Arial" w:hAnsi="Arial" w:cs="Arial"/>
        </w:rPr>
        <w:t>s</w:t>
      </w:r>
      <w:r w:rsidRPr="004B42FB">
        <w:rPr>
          <w:rFonts w:ascii="Arial" w:hAnsi="Arial" w:cs="Arial"/>
        </w:rPr>
        <w:t xml:space="preserve"> that </w:t>
      </w:r>
      <w:r w:rsidR="00942F48">
        <w:rPr>
          <w:rFonts w:ascii="Arial" w:hAnsi="Arial" w:cs="Arial"/>
        </w:rPr>
        <w:t>are</w:t>
      </w:r>
      <w:r w:rsidRPr="004B42FB">
        <w:rPr>
          <w:rFonts w:ascii="Arial" w:hAnsi="Arial" w:cs="Arial"/>
        </w:rPr>
        <w:t xml:space="preserve"> cost saving, practical, constructive and </w:t>
      </w:r>
      <w:r w:rsidR="00942F48" w:rsidRPr="004B42FB">
        <w:rPr>
          <w:rFonts w:ascii="Arial" w:hAnsi="Arial" w:cs="Arial"/>
        </w:rPr>
        <w:t>benef</w:t>
      </w:r>
      <w:r w:rsidR="00942F48">
        <w:rPr>
          <w:rFonts w:ascii="Arial" w:hAnsi="Arial" w:cs="Arial"/>
        </w:rPr>
        <w:t>icial to</w:t>
      </w:r>
      <w:r w:rsidR="00942F48" w:rsidRPr="004B42FB">
        <w:rPr>
          <w:rFonts w:ascii="Arial" w:hAnsi="Arial" w:cs="Arial"/>
        </w:rPr>
        <w:t xml:space="preserve"> </w:t>
      </w:r>
      <w:r w:rsidRPr="004B42FB">
        <w:rPr>
          <w:rFonts w:ascii="Arial" w:hAnsi="Arial" w:cs="Arial"/>
        </w:rPr>
        <w:t xml:space="preserve">[Company </w:t>
      </w:r>
      <w:r w:rsidR="00942F48">
        <w:rPr>
          <w:rFonts w:ascii="Arial" w:hAnsi="Arial" w:cs="Arial"/>
        </w:rPr>
        <w:t>N</w:t>
      </w:r>
      <w:r w:rsidRPr="004B42FB">
        <w:rPr>
          <w:rFonts w:ascii="Arial" w:hAnsi="Arial" w:cs="Arial"/>
        </w:rPr>
        <w:t xml:space="preserve">ame] will be eligible for review </w:t>
      </w:r>
      <w:r w:rsidR="00942F48">
        <w:rPr>
          <w:rFonts w:ascii="Arial" w:hAnsi="Arial" w:cs="Arial"/>
        </w:rPr>
        <w:t>and must</w:t>
      </w:r>
      <w:r w:rsidRPr="004B42FB">
        <w:rPr>
          <w:rFonts w:ascii="Arial" w:hAnsi="Arial" w:cs="Arial"/>
        </w:rPr>
        <w:t xml:space="preserve"> identif</w:t>
      </w:r>
      <w:r w:rsidR="00942F48">
        <w:rPr>
          <w:rFonts w:ascii="Arial" w:hAnsi="Arial" w:cs="Arial"/>
        </w:rPr>
        <w:t>y</w:t>
      </w:r>
      <w:r w:rsidRPr="004B42FB">
        <w:rPr>
          <w:rFonts w:ascii="Arial" w:hAnsi="Arial" w:cs="Arial"/>
        </w:rPr>
        <w:t xml:space="preserve"> a problem area, recommend a solution or action, </w:t>
      </w:r>
      <w:r w:rsidR="00942F48">
        <w:rPr>
          <w:rFonts w:ascii="Arial" w:hAnsi="Arial" w:cs="Arial"/>
        </w:rPr>
        <w:t>be</w:t>
      </w:r>
      <w:r w:rsidR="00942F48" w:rsidRPr="004B42FB">
        <w:rPr>
          <w:rFonts w:ascii="Arial" w:hAnsi="Arial" w:cs="Arial"/>
        </w:rPr>
        <w:t xml:space="preserve"> </w:t>
      </w:r>
      <w:r w:rsidRPr="004B42FB">
        <w:rPr>
          <w:rFonts w:ascii="Arial" w:hAnsi="Arial" w:cs="Arial"/>
        </w:rPr>
        <w:t>consistent with program criteria and submitted following proper procedure</w:t>
      </w:r>
      <w:r w:rsidR="00493AFE">
        <w:rPr>
          <w:rFonts w:ascii="Arial" w:hAnsi="Arial" w:cs="Arial"/>
        </w:rPr>
        <w:t>s</w:t>
      </w:r>
      <w:r w:rsidRPr="004B42FB">
        <w:rPr>
          <w:rFonts w:ascii="Arial" w:hAnsi="Arial" w:cs="Arial"/>
        </w:rPr>
        <w:t xml:space="preserve">. </w:t>
      </w:r>
      <w:r w:rsidRPr="004B42FB">
        <w:rPr>
          <w:rFonts w:ascii="Arial" w:hAnsi="Arial" w:cs="Arial"/>
          <w:b/>
          <w:bCs/>
        </w:rPr>
        <w:br/>
      </w:r>
      <w:r w:rsidRPr="004B42FB">
        <w:rPr>
          <w:rFonts w:ascii="Arial" w:hAnsi="Arial" w:cs="Arial"/>
          <w:b/>
          <w:bCs/>
        </w:rPr>
        <w:br/>
        <w:t>Awards</w:t>
      </w:r>
      <w:r w:rsidRPr="004B42FB">
        <w:rPr>
          <w:rFonts w:ascii="Arial" w:hAnsi="Arial" w:cs="Arial"/>
        </w:rPr>
        <w:t xml:space="preserve"> </w:t>
      </w:r>
    </w:p>
    <w:p w14:paraId="72621C6E" w14:textId="77777777" w:rsidR="004B42FB" w:rsidRPr="004B42FB" w:rsidRDefault="004B42FB" w:rsidP="004B42FB">
      <w:pPr>
        <w:rPr>
          <w:rFonts w:ascii="Arial" w:hAnsi="Arial" w:cs="Arial"/>
        </w:rPr>
      </w:pPr>
      <w:r w:rsidRPr="004B42FB">
        <w:rPr>
          <w:rFonts w:ascii="Arial" w:hAnsi="Arial" w:cs="Arial"/>
        </w:rPr>
        <w:t xml:space="preserve">Cash awards are authorized only for employees whose ideas: </w:t>
      </w:r>
    </w:p>
    <w:p w14:paraId="72621C6F" w14:textId="1BA0D78E" w:rsidR="004B42FB" w:rsidRPr="00FF3F34" w:rsidRDefault="004B42FB" w:rsidP="00FF3F34">
      <w:pPr>
        <w:pStyle w:val="ListParagraph"/>
        <w:numPr>
          <w:ilvl w:val="0"/>
          <w:numId w:val="3"/>
        </w:numPr>
        <w:rPr>
          <w:rFonts w:ascii="Arial" w:hAnsi="Arial" w:cs="Arial"/>
        </w:rPr>
      </w:pPr>
      <w:r w:rsidRPr="00FF3F34">
        <w:rPr>
          <w:rFonts w:ascii="Arial" w:hAnsi="Arial" w:cs="Arial"/>
        </w:rPr>
        <w:t>Are adopted and implemented</w:t>
      </w:r>
      <w:r w:rsidR="00942F48" w:rsidRPr="00FF3F34">
        <w:rPr>
          <w:rFonts w:ascii="Arial" w:hAnsi="Arial" w:cs="Arial"/>
        </w:rPr>
        <w:t>;</w:t>
      </w:r>
      <w:r w:rsidRPr="00FF3F34">
        <w:rPr>
          <w:rFonts w:ascii="Arial" w:hAnsi="Arial" w:cs="Arial"/>
        </w:rPr>
        <w:t xml:space="preserve"> and </w:t>
      </w:r>
    </w:p>
    <w:p w14:paraId="72621C70" w14:textId="047A1731" w:rsidR="004B42FB" w:rsidRPr="00FF3F34" w:rsidRDefault="004B42FB" w:rsidP="00FF3F34">
      <w:pPr>
        <w:pStyle w:val="ListParagraph"/>
        <w:numPr>
          <w:ilvl w:val="0"/>
          <w:numId w:val="3"/>
        </w:numPr>
        <w:rPr>
          <w:rFonts w:ascii="Arial" w:hAnsi="Arial" w:cs="Arial"/>
        </w:rPr>
      </w:pPr>
      <w:r w:rsidRPr="00FF3F34">
        <w:rPr>
          <w:rFonts w:ascii="Arial" w:hAnsi="Arial" w:cs="Arial"/>
        </w:rPr>
        <w:t xml:space="preserve">Result in measurable dollar savings or increased revenue. </w:t>
      </w:r>
    </w:p>
    <w:p w14:paraId="72621C71" w14:textId="3809E3CC" w:rsidR="004B42FB" w:rsidRPr="004B42FB" w:rsidRDefault="004B42FB" w:rsidP="004B42FB">
      <w:pPr>
        <w:rPr>
          <w:rFonts w:ascii="Arial" w:hAnsi="Arial" w:cs="Arial"/>
        </w:rPr>
      </w:pPr>
      <w:r w:rsidRPr="004B42FB">
        <w:rPr>
          <w:rFonts w:ascii="Arial" w:hAnsi="Arial" w:cs="Arial"/>
        </w:rPr>
        <w:t xml:space="preserve">Cash awards are based on </w:t>
      </w:r>
      <w:r w:rsidR="00493AFE">
        <w:rPr>
          <w:rFonts w:ascii="Arial" w:hAnsi="Arial" w:cs="Arial"/>
        </w:rPr>
        <w:t xml:space="preserve">the </w:t>
      </w:r>
      <w:r w:rsidRPr="004B42FB">
        <w:rPr>
          <w:rFonts w:ascii="Arial" w:hAnsi="Arial" w:cs="Arial"/>
        </w:rPr>
        <w:t xml:space="preserve">savings and/or revenue actually generated in the first year of implementation of the suggestions. If all anticipated savings/revenues are generated within the first year, the calculation and award may occur at that time and before the full year has elapsed. </w:t>
      </w:r>
      <w:r w:rsidR="00493AFE">
        <w:rPr>
          <w:rFonts w:ascii="Arial" w:hAnsi="Arial" w:cs="Arial"/>
        </w:rPr>
        <w:t>Individuals must be employed at the time of the award distribution to be eligible for the cash award.</w:t>
      </w:r>
      <w:r w:rsidRPr="004B42FB">
        <w:rPr>
          <w:rFonts w:ascii="Arial" w:hAnsi="Arial" w:cs="Arial"/>
        </w:rPr>
        <w:br/>
      </w:r>
      <w:r w:rsidRPr="004B42FB">
        <w:rPr>
          <w:rFonts w:ascii="Arial" w:hAnsi="Arial" w:cs="Arial"/>
        </w:rPr>
        <w:br/>
        <w:t xml:space="preserve">The active life of a valid suggestion shall be one year from receipt by </w:t>
      </w:r>
      <w:r w:rsidR="00493AFE">
        <w:rPr>
          <w:rFonts w:ascii="Arial" w:hAnsi="Arial" w:cs="Arial"/>
        </w:rPr>
        <w:t>HR</w:t>
      </w:r>
      <w:r w:rsidRPr="004B42FB">
        <w:rPr>
          <w:rFonts w:ascii="Arial" w:hAnsi="Arial" w:cs="Arial"/>
        </w:rPr>
        <w:t xml:space="preserve"> or until final disposition of the suggestion, if longer than one year. Based on the evaluator's estimate of quantifiable (tangible) net cash savings or revenue generated during the first year of implementation, awards are calculated as follows:</w:t>
      </w:r>
    </w:p>
    <w:p w14:paraId="72621C72" w14:textId="77777777" w:rsidR="004B42FB" w:rsidRPr="004B42FB" w:rsidRDefault="004B42FB" w:rsidP="004B42FB">
      <w:pPr>
        <w:rPr>
          <w:rFonts w:ascii="Arial" w:hAnsi="Arial" w:cs="Arial"/>
        </w:rPr>
      </w:pPr>
      <w:r w:rsidRPr="004B42FB">
        <w:rPr>
          <w:rFonts w:ascii="Arial" w:hAnsi="Arial" w:cs="Arial"/>
        </w:rPr>
        <w:t> </w:t>
      </w:r>
    </w:p>
    <w:tbl>
      <w:tblPr>
        <w:tblW w:w="5000" w:type="pct"/>
        <w:tblCellSpacing w:w="0" w:type="dxa"/>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firstRow="1" w:lastRow="0" w:firstColumn="1" w:lastColumn="0" w:noHBand="0" w:noVBand="1"/>
      </w:tblPr>
      <w:tblGrid>
        <w:gridCol w:w="3653"/>
        <w:gridCol w:w="5699"/>
      </w:tblGrid>
      <w:tr w:rsidR="004B42FB" w:rsidRPr="004B42FB" w14:paraId="72621C75" w14:textId="77777777" w:rsidTr="004B42FB">
        <w:trPr>
          <w:tblCellSpacing w:w="0" w:type="dxa"/>
        </w:trPr>
        <w:tc>
          <w:tcPr>
            <w:tcW w:w="1882" w:type="dxa"/>
            <w:tcBorders>
              <w:top w:val="single" w:sz="6" w:space="0" w:color="DDDDDD"/>
              <w:left w:val="single" w:sz="6" w:space="0" w:color="DDDDDD"/>
              <w:bottom w:val="nil"/>
              <w:right w:val="nil"/>
            </w:tcBorders>
            <w:shd w:val="clear" w:color="auto" w:fill="auto"/>
            <w:tcMar>
              <w:top w:w="120" w:type="dxa"/>
              <w:left w:w="120" w:type="dxa"/>
              <w:bottom w:w="120" w:type="dxa"/>
              <w:right w:w="120" w:type="dxa"/>
            </w:tcMar>
            <w:hideMark/>
          </w:tcPr>
          <w:p w14:paraId="72621C73" w14:textId="62D1712C" w:rsidR="004B42FB" w:rsidRPr="004B42FB" w:rsidRDefault="004B42FB" w:rsidP="004B42FB">
            <w:pPr>
              <w:rPr>
                <w:rFonts w:ascii="Arial" w:hAnsi="Arial" w:cs="Arial"/>
                <w:b/>
                <w:bCs/>
              </w:rPr>
            </w:pPr>
            <w:r w:rsidRPr="004B42FB">
              <w:rPr>
                <w:rFonts w:ascii="Arial" w:hAnsi="Arial" w:cs="Arial"/>
                <w:b/>
                <w:bCs/>
              </w:rPr>
              <w:t>Net 1st-Year Savings</w:t>
            </w:r>
            <w:r w:rsidR="00942F48">
              <w:rPr>
                <w:rFonts w:ascii="Arial" w:hAnsi="Arial" w:cs="Arial"/>
                <w:b/>
                <w:bCs/>
              </w:rPr>
              <w:t>/Revenue</w:t>
            </w:r>
          </w:p>
        </w:tc>
        <w:tc>
          <w:tcPr>
            <w:tcW w:w="3240" w:type="dxa"/>
            <w:tcBorders>
              <w:top w:val="single" w:sz="6" w:space="0" w:color="DDDDDD"/>
              <w:left w:val="single" w:sz="6" w:space="0" w:color="DDDDDD"/>
              <w:bottom w:val="nil"/>
              <w:right w:val="nil"/>
            </w:tcBorders>
            <w:shd w:val="clear" w:color="auto" w:fill="auto"/>
            <w:tcMar>
              <w:top w:w="120" w:type="dxa"/>
              <w:left w:w="120" w:type="dxa"/>
              <w:bottom w:w="120" w:type="dxa"/>
              <w:right w:w="120" w:type="dxa"/>
            </w:tcMar>
            <w:hideMark/>
          </w:tcPr>
          <w:p w14:paraId="72621C74" w14:textId="77777777" w:rsidR="004B42FB" w:rsidRPr="004B42FB" w:rsidRDefault="004B42FB" w:rsidP="004B42FB">
            <w:pPr>
              <w:rPr>
                <w:rFonts w:ascii="Arial" w:hAnsi="Arial" w:cs="Arial"/>
                <w:b/>
                <w:bCs/>
              </w:rPr>
            </w:pPr>
            <w:r w:rsidRPr="004B42FB">
              <w:rPr>
                <w:rFonts w:ascii="Arial" w:hAnsi="Arial" w:cs="Arial"/>
                <w:b/>
                <w:bCs/>
              </w:rPr>
              <w:t>Award</w:t>
            </w:r>
          </w:p>
        </w:tc>
      </w:tr>
      <w:tr w:rsidR="004B42FB" w:rsidRPr="004B42FB" w14:paraId="72621C78" w14:textId="77777777" w:rsidTr="004B42FB">
        <w:trPr>
          <w:tblCellSpacing w:w="0" w:type="dxa"/>
        </w:trPr>
        <w:tc>
          <w:tcPr>
            <w:tcW w:w="1882" w:type="dxa"/>
            <w:tcBorders>
              <w:top w:val="single" w:sz="6" w:space="0" w:color="DDDDDD"/>
              <w:left w:val="single" w:sz="6" w:space="0" w:color="DDDDDD"/>
              <w:bottom w:val="nil"/>
              <w:right w:val="nil"/>
            </w:tcBorders>
            <w:shd w:val="clear" w:color="auto" w:fill="auto"/>
            <w:tcMar>
              <w:top w:w="120" w:type="dxa"/>
              <w:left w:w="120" w:type="dxa"/>
              <w:bottom w:w="120" w:type="dxa"/>
              <w:right w:w="120" w:type="dxa"/>
            </w:tcMar>
            <w:hideMark/>
          </w:tcPr>
          <w:p w14:paraId="72621C76" w14:textId="77777777" w:rsidR="004B42FB" w:rsidRPr="004B42FB" w:rsidRDefault="004B42FB" w:rsidP="004B42FB">
            <w:pPr>
              <w:rPr>
                <w:rFonts w:ascii="Arial" w:hAnsi="Arial" w:cs="Arial"/>
                <w:b/>
                <w:bCs/>
              </w:rPr>
            </w:pPr>
            <w:r w:rsidRPr="004B42FB">
              <w:rPr>
                <w:rFonts w:ascii="Arial" w:hAnsi="Arial" w:cs="Arial"/>
                <w:b/>
                <w:bCs/>
              </w:rPr>
              <w:t>$20,000 or more</w:t>
            </w:r>
          </w:p>
        </w:tc>
        <w:tc>
          <w:tcPr>
            <w:tcW w:w="3240" w:type="dxa"/>
            <w:tcBorders>
              <w:top w:val="single" w:sz="6" w:space="0" w:color="DDDDDD"/>
              <w:left w:val="single" w:sz="6" w:space="0" w:color="DDDDDD"/>
              <w:bottom w:val="nil"/>
              <w:right w:val="nil"/>
            </w:tcBorders>
            <w:shd w:val="clear" w:color="auto" w:fill="auto"/>
            <w:tcMar>
              <w:top w:w="120" w:type="dxa"/>
              <w:left w:w="120" w:type="dxa"/>
              <w:bottom w:w="120" w:type="dxa"/>
              <w:right w:w="120" w:type="dxa"/>
            </w:tcMar>
            <w:hideMark/>
          </w:tcPr>
          <w:p w14:paraId="72621C77" w14:textId="77777777" w:rsidR="004B42FB" w:rsidRPr="004B42FB" w:rsidRDefault="004B42FB" w:rsidP="004B42FB">
            <w:pPr>
              <w:rPr>
                <w:rFonts w:ascii="Arial" w:hAnsi="Arial" w:cs="Arial"/>
                <w:b/>
                <w:bCs/>
              </w:rPr>
            </w:pPr>
            <w:r w:rsidRPr="004B42FB">
              <w:rPr>
                <w:rFonts w:ascii="Arial" w:hAnsi="Arial" w:cs="Arial"/>
                <w:b/>
                <w:bCs/>
              </w:rPr>
              <w:t xml:space="preserve">$5,000 + 1% of amount over $20,000 </w:t>
            </w:r>
          </w:p>
        </w:tc>
      </w:tr>
      <w:tr w:rsidR="004B42FB" w:rsidRPr="004B42FB" w14:paraId="72621C7B" w14:textId="77777777" w:rsidTr="004B42FB">
        <w:trPr>
          <w:tblCellSpacing w:w="0" w:type="dxa"/>
        </w:trPr>
        <w:tc>
          <w:tcPr>
            <w:tcW w:w="1882" w:type="dxa"/>
            <w:tcBorders>
              <w:top w:val="single" w:sz="6" w:space="0" w:color="DDDDDD"/>
              <w:left w:val="single" w:sz="6" w:space="0" w:color="DDDDDD"/>
              <w:bottom w:val="nil"/>
              <w:right w:val="nil"/>
            </w:tcBorders>
            <w:shd w:val="clear" w:color="auto" w:fill="auto"/>
            <w:tcMar>
              <w:top w:w="120" w:type="dxa"/>
              <w:left w:w="120" w:type="dxa"/>
              <w:bottom w:w="120" w:type="dxa"/>
              <w:right w:w="120" w:type="dxa"/>
            </w:tcMar>
            <w:hideMark/>
          </w:tcPr>
          <w:p w14:paraId="72621C79" w14:textId="77777777" w:rsidR="004B42FB" w:rsidRPr="004B42FB" w:rsidRDefault="004B42FB" w:rsidP="004B42FB">
            <w:pPr>
              <w:rPr>
                <w:rFonts w:ascii="Arial" w:hAnsi="Arial" w:cs="Arial"/>
                <w:b/>
                <w:bCs/>
              </w:rPr>
            </w:pPr>
            <w:r w:rsidRPr="004B42FB">
              <w:rPr>
                <w:rFonts w:ascii="Arial" w:hAnsi="Arial" w:cs="Arial"/>
                <w:b/>
                <w:bCs/>
              </w:rPr>
              <w:t>$10,001-$19,999</w:t>
            </w:r>
          </w:p>
        </w:tc>
        <w:tc>
          <w:tcPr>
            <w:tcW w:w="3240" w:type="dxa"/>
            <w:tcBorders>
              <w:top w:val="single" w:sz="6" w:space="0" w:color="DDDDDD"/>
              <w:left w:val="single" w:sz="6" w:space="0" w:color="DDDDDD"/>
              <w:bottom w:val="nil"/>
              <w:right w:val="nil"/>
            </w:tcBorders>
            <w:shd w:val="clear" w:color="auto" w:fill="auto"/>
            <w:tcMar>
              <w:top w:w="120" w:type="dxa"/>
              <w:left w:w="120" w:type="dxa"/>
              <w:bottom w:w="120" w:type="dxa"/>
              <w:right w:w="120" w:type="dxa"/>
            </w:tcMar>
            <w:hideMark/>
          </w:tcPr>
          <w:p w14:paraId="72621C7A" w14:textId="77777777" w:rsidR="004B42FB" w:rsidRPr="004B42FB" w:rsidRDefault="004B42FB" w:rsidP="004B42FB">
            <w:pPr>
              <w:rPr>
                <w:rFonts w:ascii="Arial" w:hAnsi="Arial" w:cs="Arial"/>
                <w:b/>
                <w:bCs/>
              </w:rPr>
            </w:pPr>
            <w:r w:rsidRPr="004B42FB">
              <w:rPr>
                <w:rFonts w:ascii="Arial" w:hAnsi="Arial" w:cs="Arial"/>
                <w:b/>
                <w:bCs/>
              </w:rPr>
              <w:t xml:space="preserve">25% of the savings + $500 </w:t>
            </w:r>
          </w:p>
        </w:tc>
      </w:tr>
      <w:tr w:rsidR="004B42FB" w:rsidRPr="004B42FB" w14:paraId="72621C7E" w14:textId="77777777" w:rsidTr="004B42FB">
        <w:trPr>
          <w:tblCellSpacing w:w="0" w:type="dxa"/>
        </w:trPr>
        <w:tc>
          <w:tcPr>
            <w:tcW w:w="1882" w:type="dxa"/>
            <w:tcBorders>
              <w:top w:val="single" w:sz="6" w:space="0" w:color="DDDDDD"/>
              <w:left w:val="single" w:sz="6" w:space="0" w:color="DDDDDD"/>
              <w:bottom w:val="nil"/>
              <w:right w:val="nil"/>
            </w:tcBorders>
            <w:shd w:val="clear" w:color="auto" w:fill="auto"/>
            <w:tcMar>
              <w:top w:w="120" w:type="dxa"/>
              <w:left w:w="120" w:type="dxa"/>
              <w:bottom w:w="120" w:type="dxa"/>
              <w:right w:w="120" w:type="dxa"/>
            </w:tcMar>
            <w:hideMark/>
          </w:tcPr>
          <w:p w14:paraId="72621C7C" w14:textId="77777777" w:rsidR="004B42FB" w:rsidRPr="004B42FB" w:rsidRDefault="004B42FB" w:rsidP="004B42FB">
            <w:pPr>
              <w:rPr>
                <w:rFonts w:ascii="Arial" w:hAnsi="Arial" w:cs="Arial"/>
                <w:b/>
                <w:bCs/>
              </w:rPr>
            </w:pPr>
            <w:r w:rsidRPr="004B42FB">
              <w:rPr>
                <w:rFonts w:ascii="Arial" w:hAnsi="Arial" w:cs="Arial"/>
                <w:b/>
                <w:bCs/>
              </w:rPr>
              <w:lastRenderedPageBreak/>
              <w:t>$501-$10,000</w:t>
            </w:r>
          </w:p>
        </w:tc>
        <w:tc>
          <w:tcPr>
            <w:tcW w:w="3240" w:type="dxa"/>
            <w:tcBorders>
              <w:top w:val="single" w:sz="6" w:space="0" w:color="DDDDDD"/>
              <w:left w:val="single" w:sz="6" w:space="0" w:color="DDDDDD"/>
              <w:bottom w:val="nil"/>
              <w:right w:val="nil"/>
            </w:tcBorders>
            <w:shd w:val="clear" w:color="auto" w:fill="auto"/>
            <w:tcMar>
              <w:top w:w="120" w:type="dxa"/>
              <w:left w:w="120" w:type="dxa"/>
              <w:bottom w:w="120" w:type="dxa"/>
              <w:right w:w="120" w:type="dxa"/>
            </w:tcMar>
            <w:hideMark/>
          </w:tcPr>
          <w:p w14:paraId="72621C7D" w14:textId="77777777" w:rsidR="004B42FB" w:rsidRPr="004B42FB" w:rsidRDefault="004B42FB" w:rsidP="004B42FB">
            <w:pPr>
              <w:rPr>
                <w:rFonts w:ascii="Arial" w:hAnsi="Arial" w:cs="Arial"/>
                <w:b/>
                <w:bCs/>
              </w:rPr>
            </w:pPr>
            <w:r w:rsidRPr="004B42FB">
              <w:rPr>
                <w:rFonts w:ascii="Arial" w:hAnsi="Arial" w:cs="Arial"/>
                <w:b/>
                <w:bCs/>
              </w:rPr>
              <w:t xml:space="preserve">25% of the savings/revenue </w:t>
            </w:r>
          </w:p>
        </w:tc>
      </w:tr>
      <w:tr w:rsidR="004B42FB" w:rsidRPr="004B42FB" w14:paraId="72621C81" w14:textId="77777777" w:rsidTr="004B42FB">
        <w:trPr>
          <w:tblCellSpacing w:w="0" w:type="dxa"/>
        </w:trPr>
        <w:tc>
          <w:tcPr>
            <w:tcW w:w="1882" w:type="dxa"/>
            <w:tcBorders>
              <w:top w:val="single" w:sz="6" w:space="0" w:color="DDDDDD"/>
              <w:left w:val="single" w:sz="6" w:space="0" w:color="DDDDDD"/>
              <w:bottom w:val="nil"/>
              <w:right w:val="nil"/>
            </w:tcBorders>
            <w:shd w:val="clear" w:color="auto" w:fill="auto"/>
            <w:tcMar>
              <w:top w:w="120" w:type="dxa"/>
              <w:left w:w="120" w:type="dxa"/>
              <w:bottom w:w="120" w:type="dxa"/>
              <w:right w:w="120" w:type="dxa"/>
            </w:tcMar>
            <w:hideMark/>
          </w:tcPr>
          <w:p w14:paraId="72621C7F" w14:textId="77777777" w:rsidR="004B42FB" w:rsidRPr="004B42FB" w:rsidRDefault="004B42FB" w:rsidP="004B42FB">
            <w:pPr>
              <w:rPr>
                <w:rFonts w:ascii="Arial" w:hAnsi="Arial" w:cs="Arial"/>
                <w:b/>
                <w:bCs/>
              </w:rPr>
            </w:pPr>
            <w:r w:rsidRPr="004B42FB">
              <w:rPr>
                <w:rFonts w:ascii="Arial" w:hAnsi="Arial" w:cs="Arial"/>
                <w:b/>
                <w:bCs/>
              </w:rPr>
              <w:t>$100-$500</w:t>
            </w:r>
          </w:p>
        </w:tc>
        <w:tc>
          <w:tcPr>
            <w:tcW w:w="3240" w:type="dxa"/>
            <w:tcBorders>
              <w:top w:val="single" w:sz="6" w:space="0" w:color="DDDDDD"/>
              <w:left w:val="single" w:sz="6" w:space="0" w:color="DDDDDD"/>
              <w:bottom w:val="nil"/>
              <w:right w:val="nil"/>
            </w:tcBorders>
            <w:shd w:val="clear" w:color="auto" w:fill="auto"/>
            <w:tcMar>
              <w:top w:w="120" w:type="dxa"/>
              <w:left w:w="120" w:type="dxa"/>
              <w:bottom w:w="120" w:type="dxa"/>
              <w:right w:w="120" w:type="dxa"/>
            </w:tcMar>
            <w:hideMark/>
          </w:tcPr>
          <w:p w14:paraId="72621C80" w14:textId="18302587" w:rsidR="004B42FB" w:rsidRPr="004B42FB" w:rsidRDefault="004B42FB" w:rsidP="004B42FB">
            <w:pPr>
              <w:rPr>
                <w:rFonts w:ascii="Arial" w:hAnsi="Arial" w:cs="Arial"/>
                <w:b/>
                <w:bCs/>
              </w:rPr>
            </w:pPr>
            <w:r w:rsidRPr="004B42FB">
              <w:rPr>
                <w:rFonts w:ascii="Arial" w:hAnsi="Arial" w:cs="Arial"/>
                <w:b/>
                <w:bCs/>
              </w:rPr>
              <w:t xml:space="preserve">25% or 1 day of </w:t>
            </w:r>
            <w:r w:rsidR="00942F48">
              <w:rPr>
                <w:rFonts w:ascii="Arial" w:hAnsi="Arial" w:cs="Arial"/>
                <w:b/>
                <w:bCs/>
              </w:rPr>
              <w:t xml:space="preserve">paid </w:t>
            </w:r>
            <w:r w:rsidRPr="004B42FB">
              <w:rPr>
                <w:rFonts w:ascii="Arial" w:hAnsi="Arial" w:cs="Arial"/>
                <w:b/>
                <w:bCs/>
              </w:rPr>
              <w:t>leave (employee option)</w:t>
            </w:r>
          </w:p>
        </w:tc>
      </w:tr>
    </w:tbl>
    <w:p w14:paraId="72621C82" w14:textId="77777777" w:rsidR="004B42FB" w:rsidRPr="004B42FB" w:rsidRDefault="004B42FB" w:rsidP="004B42FB">
      <w:pPr>
        <w:rPr>
          <w:rFonts w:ascii="Arial" w:hAnsi="Arial" w:cs="Arial"/>
        </w:rPr>
      </w:pPr>
      <w:r w:rsidRPr="004B42FB">
        <w:rPr>
          <w:rFonts w:ascii="Arial" w:hAnsi="Arial" w:cs="Arial"/>
        </w:rPr>
        <w:t> </w:t>
      </w:r>
    </w:p>
    <w:p w14:paraId="72621C83" w14:textId="510FFB9A" w:rsidR="004B42FB" w:rsidRPr="004B42FB" w:rsidRDefault="00942F48" w:rsidP="004B42FB">
      <w:pPr>
        <w:rPr>
          <w:rFonts w:ascii="Arial" w:hAnsi="Arial" w:cs="Arial"/>
        </w:rPr>
      </w:pPr>
      <w:r>
        <w:rPr>
          <w:rFonts w:ascii="Arial" w:hAnsi="Arial" w:cs="Arial"/>
        </w:rPr>
        <w:t>Cash awards are subject to s</w:t>
      </w:r>
      <w:r w:rsidR="004B42FB" w:rsidRPr="004B42FB">
        <w:rPr>
          <w:rFonts w:ascii="Arial" w:hAnsi="Arial" w:cs="Arial"/>
        </w:rPr>
        <w:t xml:space="preserve">tate and federal taxes. The decisions of </w:t>
      </w:r>
      <w:r w:rsidR="00493AFE">
        <w:rPr>
          <w:rFonts w:ascii="Arial" w:hAnsi="Arial" w:cs="Arial"/>
        </w:rPr>
        <w:t>HR</w:t>
      </w:r>
      <w:r w:rsidR="004B42FB" w:rsidRPr="004B42FB">
        <w:rPr>
          <w:rFonts w:ascii="Arial" w:hAnsi="Arial" w:cs="Arial"/>
        </w:rPr>
        <w:t xml:space="preserve"> are final and binding. This includes all questions of policy, procedure, entitlement to an award and the nature and amount, if any, of such award. </w:t>
      </w:r>
    </w:p>
    <w:p w14:paraId="72621C84" w14:textId="6D341823" w:rsidR="004B42FB" w:rsidRPr="004B42FB" w:rsidRDefault="004B42FB" w:rsidP="004B42FB">
      <w:pPr>
        <w:rPr>
          <w:rFonts w:ascii="Arial" w:hAnsi="Arial" w:cs="Arial"/>
        </w:rPr>
      </w:pPr>
      <w:r w:rsidRPr="004B42FB">
        <w:rPr>
          <w:rFonts w:ascii="Arial" w:hAnsi="Arial" w:cs="Arial"/>
        </w:rPr>
        <w:t xml:space="preserve">Eligible classified employees may receive noncash awards of one to three days of paid leave for suggestions that result in significantly improved processes, programs, services or safety, for which benefits are not readily measurable. </w:t>
      </w:r>
      <w:r w:rsidRPr="004B42FB">
        <w:rPr>
          <w:rFonts w:ascii="Arial" w:hAnsi="Arial" w:cs="Arial"/>
        </w:rPr>
        <w:br/>
      </w:r>
      <w:r w:rsidRPr="004B42FB">
        <w:rPr>
          <w:rFonts w:ascii="Arial" w:hAnsi="Arial" w:cs="Arial"/>
        </w:rPr>
        <w:br/>
        <w:t xml:space="preserve">Human Resources will use the following factors in estimating the value of a suggestion: </w:t>
      </w:r>
    </w:p>
    <w:p w14:paraId="72621C85" w14:textId="028EE4B7" w:rsidR="004B42FB" w:rsidRPr="00FF3F34" w:rsidRDefault="004B42FB" w:rsidP="00FF3F34">
      <w:pPr>
        <w:pStyle w:val="ListParagraph"/>
        <w:numPr>
          <w:ilvl w:val="0"/>
          <w:numId w:val="3"/>
        </w:numPr>
        <w:rPr>
          <w:rFonts w:ascii="Arial" w:hAnsi="Arial" w:cs="Arial"/>
        </w:rPr>
      </w:pPr>
      <w:r w:rsidRPr="00FF3F34">
        <w:rPr>
          <w:rFonts w:ascii="Arial" w:hAnsi="Arial" w:cs="Arial"/>
        </w:rPr>
        <w:t>Degree of improvement in operations, forms, facilities or equipment.</w:t>
      </w:r>
    </w:p>
    <w:p w14:paraId="72621C86" w14:textId="3EE8E678" w:rsidR="004B42FB" w:rsidRPr="00FF3F34" w:rsidRDefault="004B42FB" w:rsidP="00FF3F34">
      <w:pPr>
        <w:pStyle w:val="ListParagraph"/>
        <w:numPr>
          <w:ilvl w:val="0"/>
          <w:numId w:val="3"/>
        </w:numPr>
        <w:rPr>
          <w:rFonts w:ascii="Arial" w:hAnsi="Arial" w:cs="Arial"/>
        </w:rPr>
      </w:pPr>
      <w:r w:rsidRPr="00FF3F34">
        <w:rPr>
          <w:rFonts w:ascii="Arial" w:hAnsi="Arial" w:cs="Arial"/>
        </w:rPr>
        <w:t>Degree of improvement in employee relations, working conditions, safety and service to customers.</w:t>
      </w:r>
    </w:p>
    <w:p w14:paraId="72621C87" w14:textId="07DE66F6" w:rsidR="004B42FB" w:rsidRPr="00FF3F34" w:rsidRDefault="004B42FB" w:rsidP="00FF3F34">
      <w:pPr>
        <w:pStyle w:val="ListParagraph"/>
        <w:numPr>
          <w:ilvl w:val="0"/>
          <w:numId w:val="3"/>
        </w:numPr>
        <w:rPr>
          <w:rFonts w:ascii="Arial" w:hAnsi="Arial" w:cs="Arial"/>
        </w:rPr>
      </w:pPr>
      <w:r w:rsidRPr="00FF3F34">
        <w:rPr>
          <w:rFonts w:ascii="Arial" w:hAnsi="Arial" w:cs="Arial"/>
        </w:rPr>
        <w:t xml:space="preserve">Completeness of </w:t>
      </w:r>
      <w:r w:rsidR="00493AFE">
        <w:rPr>
          <w:rFonts w:ascii="Arial" w:hAnsi="Arial" w:cs="Arial"/>
        </w:rPr>
        <w:t xml:space="preserve">the </w:t>
      </w:r>
      <w:r w:rsidRPr="00FF3F34">
        <w:rPr>
          <w:rFonts w:ascii="Arial" w:hAnsi="Arial" w:cs="Arial"/>
        </w:rPr>
        <w:t>proposal.</w:t>
      </w:r>
    </w:p>
    <w:p w14:paraId="72621C88" w14:textId="7A209BEB" w:rsidR="004B42FB" w:rsidRPr="00FF3F34" w:rsidRDefault="004B42FB" w:rsidP="00FF3F34">
      <w:pPr>
        <w:pStyle w:val="ListParagraph"/>
        <w:numPr>
          <w:ilvl w:val="0"/>
          <w:numId w:val="3"/>
        </w:numPr>
        <w:rPr>
          <w:rFonts w:ascii="Arial" w:hAnsi="Arial" w:cs="Arial"/>
        </w:rPr>
      </w:pPr>
      <w:r w:rsidRPr="00FF3F34">
        <w:rPr>
          <w:rFonts w:ascii="Arial" w:hAnsi="Arial" w:cs="Arial"/>
        </w:rPr>
        <w:t>Effort involved in developing the idea.</w:t>
      </w:r>
    </w:p>
    <w:p w14:paraId="72621C89" w14:textId="500A7B2F" w:rsidR="004B42FB" w:rsidRPr="00FF3F34" w:rsidRDefault="004B42FB" w:rsidP="00FF3F34">
      <w:pPr>
        <w:pStyle w:val="ListParagraph"/>
        <w:numPr>
          <w:ilvl w:val="0"/>
          <w:numId w:val="3"/>
        </w:numPr>
        <w:rPr>
          <w:rFonts w:ascii="Arial" w:hAnsi="Arial" w:cs="Arial"/>
        </w:rPr>
      </w:pPr>
      <w:r w:rsidRPr="00FF3F34">
        <w:rPr>
          <w:rFonts w:ascii="Arial" w:hAnsi="Arial" w:cs="Arial"/>
        </w:rPr>
        <w:t xml:space="preserve">Cost of adoption. </w:t>
      </w:r>
    </w:p>
    <w:p w14:paraId="25032F3D" w14:textId="77777777" w:rsidR="00332C43" w:rsidRDefault="004B42FB" w:rsidP="004B42FB">
      <w:pPr>
        <w:rPr>
          <w:rFonts w:ascii="Arial" w:hAnsi="Arial" w:cs="Arial"/>
        </w:rPr>
      </w:pPr>
      <w:r w:rsidRPr="004B42FB">
        <w:rPr>
          <w:rFonts w:ascii="Arial" w:hAnsi="Arial" w:cs="Arial"/>
        </w:rPr>
        <w:t xml:space="preserve">ESP </w:t>
      </w:r>
      <w:r w:rsidR="00493AFE">
        <w:rPr>
          <w:rFonts w:ascii="Arial" w:hAnsi="Arial" w:cs="Arial"/>
        </w:rPr>
        <w:t xml:space="preserve">paid </w:t>
      </w:r>
      <w:r w:rsidRPr="004B42FB">
        <w:rPr>
          <w:rFonts w:ascii="Arial" w:hAnsi="Arial" w:cs="Arial"/>
        </w:rPr>
        <w:t xml:space="preserve">leave </w:t>
      </w:r>
      <w:r w:rsidR="00493AFE">
        <w:rPr>
          <w:rFonts w:ascii="Arial" w:hAnsi="Arial" w:cs="Arial"/>
        </w:rPr>
        <w:t xml:space="preserve">awards </w:t>
      </w:r>
      <w:r w:rsidRPr="004B42FB">
        <w:rPr>
          <w:rFonts w:ascii="Arial" w:hAnsi="Arial" w:cs="Arial"/>
        </w:rPr>
        <w:t>not taken within 12 months will be forfeited. Active ESP leave balances will be paid when the employee leaves the company.</w:t>
      </w:r>
    </w:p>
    <w:p w14:paraId="72621C8A" w14:textId="4CA4C808" w:rsidR="004B42FB" w:rsidRPr="004B42FB" w:rsidRDefault="00332C43" w:rsidP="004B42FB">
      <w:pPr>
        <w:rPr>
          <w:rFonts w:ascii="Arial" w:hAnsi="Arial" w:cs="Arial"/>
        </w:rPr>
      </w:pPr>
      <w:r w:rsidRPr="00FF3F34">
        <w:rPr>
          <w:rFonts w:ascii="Arial" w:hAnsi="Arial" w:cs="Arial"/>
          <w:b/>
          <w:bCs/>
        </w:rPr>
        <w:t>Process</w:t>
      </w:r>
      <w:r>
        <w:rPr>
          <w:rFonts w:ascii="Arial" w:hAnsi="Arial" w:cs="Arial"/>
        </w:rPr>
        <w:t xml:space="preserve"> </w:t>
      </w:r>
      <w:r w:rsidR="004B42FB" w:rsidRPr="004B42FB">
        <w:rPr>
          <w:rFonts w:ascii="Arial" w:hAnsi="Arial" w:cs="Arial"/>
        </w:rPr>
        <w:br/>
      </w:r>
      <w:r w:rsidR="004B42FB" w:rsidRPr="004B42FB">
        <w:rPr>
          <w:rFonts w:ascii="Arial" w:hAnsi="Arial" w:cs="Arial"/>
        </w:rPr>
        <w:br/>
        <w:t xml:space="preserve">Employees with suggestions must complete the [Company </w:t>
      </w:r>
      <w:r w:rsidR="00493AFE">
        <w:rPr>
          <w:rFonts w:ascii="Arial" w:hAnsi="Arial" w:cs="Arial"/>
        </w:rPr>
        <w:t>N</w:t>
      </w:r>
      <w:r w:rsidR="004B42FB" w:rsidRPr="004B42FB">
        <w:rPr>
          <w:rFonts w:ascii="Arial" w:hAnsi="Arial" w:cs="Arial"/>
        </w:rPr>
        <w:t xml:space="preserve">ame] </w:t>
      </w:r>
      <w:r w:rsidR="00493AFE">
        <w:rPr>
          <w:rFonts w:ascii="Arial" w:hAnsi="Arial" w:cs="Arial"/>
        </w:rPr>
        <w:t>e</w:t>
      </w:r>
      <w:r w:rsidR="004B42FB" w:rsidRPr="004B42FB">
        <w:rPr>
          <w:rFonts w:ascii="Arial" w:hAnsi="Arial" w:cs="Arial"/>
        </w:rPr>
        <w:t xml:space="preserve">mployee </w:t>
      </w:r>
      <w:r w:rsidR="00493AFE">
        <w:rPr>
          <w:rFonts w:ascii="Arial" w:hAnsi="Arial" w:cs="Arial"/>
        </w:rPr>
        <w:t>s</w:t>
      </w:r>
      <w:r w:rsidR="004B42FB" w:rsidRPr="004B42FB">
        <w:rPr>
          <w:rFonts w:ascii="Arial" w:hAnsi="Arial" w:cs="Arial"/>
        </w:rPr>
        <w:t>uggestion form and submit it to</w:t>
      </w:r>
      <w:r w:rsidR="00224A67">
        <w:rPr>
          <w:rFonts w:ascii="Arial" w:hAnsi="Arial" w:cs="Arial"/>
        </w:rPr>
        <w:t xml:space="preserve"> the</w:t>
      </w:r>
      <w:r w:rsidR="004B42FB" w:rsidRPr="004B42FB">
        <w:rPr>
          <w:rFonts w:ascii="Arial" w:hAnsi="Arial" w:cs="Arial"/>
        </w:rPr>
        <w:t xml:space="preserve"> </w:t>
      </w:r>
      <w:r w:rsidR="00493AFE">
        <w:rPr>
          <w:rFonts w:ascii="Arial" w:hAnsi="Arial" w:cs="Arial"/>
        </w:rPr>
        <w:t>HR</w:t>
      </w:r>
      <w:r w:rsidR="00224A67">
        <w:rPr>
          <w:rFonts w:ascii="Arial" w:hAnsi="Arial" w:cs="Arial"/>
        </w:rPr>
        <w:t xml:space="preserve"> department</w:t>
      </w:r>
      <w:r w:rsidR="004B42FB" w:rsidRPr="004B42FB">
        <w:rPr>
          <w:rFonts w:ascii="Arial" w:hAnsi="Arial" w:cs="Arial"/>
        </w:rPr>
        <w:t xml:space="preserve">. </w:t>
      </w:r>
    </w:p>
    <w:p w14:paraId="72621C8B" w14:textId="37D42B5C" w:rsidR="004B42FB" w:rsidRPr="00FF3F34" w:rsidRDefault="004B42FB" w:rsidP="00FF3F34">
      <w:pPr>
        <w:rPr>
          <w:rFonts w:ascii="Arial" w:hAnsi="Arial" w:cs="Arial"/>
        </w:rPr>
      </w:pPr>
      <w:r w:rsidRPr="00FF3F34">
        <w:rPr>
          <w:rFonts w:ascii="Arial" w:hAnsi="Arial" w:cs="Arial"/>
        </w:rPr>
        <w:t xml:space="preserve">The suggestion </w:t>
      </w:r>
      <w:r w:rsidR="00224A67" w:rsidRPr="00FF3F34">
        <w:rPr>
          <w:rFonts w:ascii="Arial" w:hAnsi="Arial" w:cs="Arial"/>
        </w:rPr>
        <w:t xml:space="preserve">will be </w:t>
      </w:r>
      <w:r w:rsidRPr="00FF3F34">
        <w:rPr>
          <w:rFonts w:ascii="Arial" w:hAnsi="Arial" w:cs="Arial"/>
        </w:rPr>
        <w:t xml:space="preserve">reviewed for eligibility by </w:t>
      </w:r>
      <w:r w:rsidR="00493AFE" w:rsidRPr="00FF3F34">
        <w:rPr>
          <w:rFonts w:ascii="Arial" w:hAnsi="Arial" w:cs="Arial"/>
        </w:rPr>
        <w:t>HR</w:t>
      </w:r>
      <w:r w:rsidRPr="00FF3F34">
        <w:rPr>
          <w:rFonts w:ascii="Arial" w:hAnsi="Arial" w:cs="Arial"/>
        </w:rPr>
        <w:t xml:space="preserve">, </w:t>
      </w:r>
      <w:r w:rsidR="00224A67" w:rsidRPr="00FF3F34">
        <w:rPr>
          <w:rFonts w:ascii="Arial" w:hAnsi="Arial" w:cs="Arial"/>
        </w:rPr>
        <w:t xml:space="preserve">entered </w:t>
      </w:r>
      <w:r w:rsidRPr="00FF3F34">
        <w:rPr>
          <w:rFonts w:ascii="Arial" w:hAnsi="Arial" w:cs="Arial"/>
        </w:rPr>
        <w:t>into the ESP</w:t>
      </w:r>
      <w:r w:rsidR="00224A67" w:rsidRPr="00FF3F34">
        <w:rPr>
          <w:rFonts w:ascii="Arial" w:hAnsi="Arial" w:cs="Arial"/>
        </w:rPr>
        <w:t xml:space="preserve"> </w:t>
      </w:r>
      <w:r w:rsidR="00493AFE" w:rsidRPr="00FF3F34">
        <w:rPr>
          <w:rFonts w:ascii="Arial" w:hAnsi="Arial" w:cs="Arial"/>
        </w:rPr>
        <w:t>t</w:t>
      </w:r>
      <w:r w:rsidR="00224A67" w:rsidRPr="00FF3F34">
        <w:rPr>
          <w:rFonts w:ascii="Arial" w:hAnsi="Arial" w:cs="Arial"/>
        </w:rPr>
        <w:t>racking</w:t>
      </w:r>
      <w:r w:rsidRPr="00FF3F34">
        <w:rPr>
          <w:rFonts w:ascii="Arial" w:hAnsi="Arial" w:cs="Arial"/>
        </w:rPr>
        <w:t xml:space="preserve"> </w:t>
      </w:r>
      <w:r w:rsidR="00493AFE" w:rsidRPr="00FF3F34">
        <w:rPr>
          <w:rFonts w:ascii="Arial" w:hAnsi="Arial" w:cs="Arial"/>
        </w:rPr>
        <w:t>l</w:t>
      </w:r>
      <w:r w:rsidRPr="00FF3F34">
        <w:rPr>
          <w:rFonts w:ascii="Arial" w:hAnsi="Arial" w:cs="Arial"/>
        </w:rPr>
        <w:t>og and forwarded to the appropriate department for evaluation.</w:t>
      </w:r>
    </w:p>
    <w:p w14:paraId="72621C8C" w14:textId="6B603F0C" w:rsidR="004B42FB" w:rsidRPr="00FF3F34" w:rsidRDefault="004B42FB" w:rsidP="00FF3F34">
      <w:pPr>
        <w:rPr>
          <w:rFonts w:ascii="Arial" w:hAnsi="Arial" w:cs="Arial"/>
        </w:rPr>
      </w:pPr>
      <w:r w:rsidRPr="00FF3F34">
        <w:rPr>
          <w:rFonts w:ascii="Arial" w:hAnsi="Arial" w:cs="Arial"/>
        </w:rPr>
        <w:t xml:space="preserve">The </w:t>
      </w:r>
      <w:r w:rsidR="00332C43">
        <w:rPr>
          <w:rFonts w:ascii="Arial" w:hAnsi="Arial" w:cs="Arial"/>
        </w:rPr>
        <w:t xml:space="preserve">department </w:t>
      </w:r>
      <w:r w:rsidRPr="00FF3F34">
        <w:rPr>
          <w:rFonts w:ascii="Arial" w:hAnsi="Arial" w:cs="Arial"/>
        </w:rPr>
        <w:t xml:space="preserve">evaluator </w:t>
      </w:r>
      <w:r w:rsidR="00224A67" w:rsidRPr="00FF3F34">
        <w:rPr>
          <w:rFonts w:ascii="Arial" w:hAnsi="Arial" w:cs="Arial"/>
        </w:rPr>
        <w:t xml:space="preserve">will </w:t>
      </w:r>
      <w:r w:rsidRPr="00FF3F34">
        <w:rPr>
          <w:rFonts w:ascii="Arial" w:hAnsi="Arial" w:cs="Arial"/>
        </w:rPr>
        <w:t>complete part</w:t>
      </w:r>
      <w:r w:rsidR="00332C43" w:rsidRPr="00FF3F34">
        <w:rPr>
          <w:rFonts w:ascii="Arial" w:hAnsi="Arial" w:cs="Arial"/>
        </w:rPr>
        <w:t xml:space="preserve"> one</w:t>
      </w:r>
      <w:r w:rsidRPr="00FF3F34">
        <w:rPr>
          <w:rFonts w:ascii="Arial" w:hAnsi="Arial" w:cs="Arial"/>
        </w:rPr>
        <w:t xml:space="preserve"> of the </w:t>
      </w:r>
      <w:r w:rsidR="00224A67" w:rsidRPr="00FF3F34">
        <w:rPr>
          <w:rFonts w:ascii="Arial" w:hAnsi="Arial" w:cs="Arial"/>
        </w:rPr>
        <w:t xml:space="preserve">ESP </w:t>
      </w:r>
      <w:r w:rsidRPr="00FF3F34">
        <w:rPr>
          <w:rFonts w:ascii="Arial" w:hAnsi="Arial" w:cs="Arial"/>
        </w:rPr>
        <w:t>evaluation</w:t>
      </w:r>
      <w:r w:rsidR="00224A67" w:rsidRPr="00FF3F34">
        <w:rPr>
          <w:rFonts w:ascii="Arial" w:hAnsi="Arial" w:cs="Arial"/>
        </w:rPr>
        <w:t xml:space="preserve"> form</w:t>
      </w:r>
      <w:r w:rsidRPr="00FF3F34">
        <w:rPr>
          <w:rFonts w:ascii="Arial" w:hAnsi="Arial" w:cs="Arial"/>
        </w:rPr>
        <w:t xml:space="preserve"> and return it </w:t>
      </w:r>
      <w:r w:rsidR="00224A67" w:rsidRPr="00FF3F34">
        <w:rPr>
          <w:rFonts w:ascii="Arial" w:hAnsi="Arial" w:cs="Arial"/>
        </w:rPr>
        <w:t xml:space="preserve">with </w:t>
      </w:r>
      <w:r w:rsidRPr="00FF3F34">
        <w:rPr>
          <w:rFonts w:ascii="Arial" w:hAnsi="Arial" w:cs="Arial"/>
        </w:rPr>
        <w:t xml:space="preserve">relevant documentation to </w:t>
      </w:r>
      <w:r w:rsidR="00493AFE" w:rsidRPr="00FF3F34">
        <w:rPr>
          <w:rFonts w:ascii="Arial" w:hAnsi="Arial" w:cs="Arial"/>
        </w:rPr>
        <w:t>HR</w:t>
      </w:r>
      <w:r w:rsidRPr="00FF3F34">
        <w:rPr>
          <w:rFonts w:ascii="Arial" w:hAnsi="Arial" w:cs="Arial"/>
        </w:rPr>
        <w:t xml:space="preserve"> within the required time frame. </w:t>
      </w:r>
    </w:p>
    <w:p w14:paraId="72621C8D" w14:textId="712CA0CB" w:rsidR="004B42FB" w:rsidRPr="00FF3F34" w:rsidRDefault="00493AFE" w:rsidP="00FF3F34">
      <w:pPr>
        <w:rPr>
          <w:rFonts w:ascii="Arial" w:hAnsi="Arial" w:cs="Arial"/>
        </w:rPr>
      </w:pPr>
      <w:r w:rsidRPr="00FF3F34">
        <w:rPr>
          <w:rFonts w:ascii="Arial" w:hAnsi="Arial" w:cs="Arial"/>
        </w:rPr>
        <w:t>HR</w:t>
      </w:r>
      <w:r w:rsidR="004B42FB" w:rsidRPr="00FF3F34">
        <w:rPr>
          <w:rFonts w:ascii="Arial" w:hAnsi="Arial" w:cs="Arial"/>
        </w:rPr>
        <w:t xml:space="preserve"> </w:t>
      </w:r>
      <w:r w:rsidR="00224A67" w:rsidRPr="00FF3F34">
        <w:rPr>
          <w:rFonts w:ascii="Arial" w:hAnsi="Arial" w:cs="Arial"/>
        </w:rPr>
        <w:t xml:space="preserve">will </w:t>
      </w:r>
      <w:r w:rsidR="004B42FB" w:rsidRPr="00FF3F34">
        <w:rPr>
          <w:rFonts w:ascii="Arial" w:hAnsi="Arial" w:cs="Arial"/>
        </w:rPr>
        <w:t>review the evaluation and make an award</w:t>
      </w:r>
      <w:r w:rsidR="00224A67" w:rsidRPr="00FF3F34">
        <w:rPr>
          <w:rFonts w:ascii="Arial" w:hAnsi="Arial" w:cs="Arial"/>
        </w:rPr>
        <w:t xml:space="preserve"> decision in accordance with this policy</w:t>
      </w:r>
      <w:r w:rsidR="004B42FB" w:rsidRPr="00FF3F34">
        <w:rPr>
          <w:rFonts w:ascii="Arial" w:hAnsi="Arial" w:cs="Arial"/>
        </w:rPr>
        <w:t>. The</w:t>
      </w:r>
      <w:r w:rsidR="00224A67" w:rsidRPr="00FF3F34">
        <w:rPr>
          <w:rFonts w:ascii="Arial" w:hAnsi="Arial" w:cs="Arial"/>
        </w:rPr>
        <w:t xml:space="preserve"> employee will be</w:t>
      </w:r>
      <w:r w:rsidR="004B42FB" w:rsidRPr="00FF3F34">
        <w:rPr>
          <w:rFonts w:ascii="Arial" w:hAnsi="Arial" w:cs="Arial"/>
        </w:rPr>
        <w:t xml:space="preserve"> notified of the award</w:t>
      </w:r>
      <w:r w:rsidR="00224A67" w:rsidRPr="00FF3F34">
        <w:rPr>
          <w:rFonts w:ascii="Arial" w:hAnsi="Arial" w:cs="Arial"/>
        </w:rPr>
        <w:t xml:space="preserve"> upon approval and </w:t>
      </w:r>
      <w:r w:rsidR="004B42FB" w:rsidRPr="00FF3F34">
        <w:rPr>
          <w:rFonts w:ascii="Arial" w:hAnsi="Arial" w:cs="Arial"/>
        </w:rPr>
        <w:t xml:space="preserve">signature of </w:t>
      </w:r>
      <w:r w:rsidR="00224A67" w:rsidRPr="00FF3F34">
        <w:rPr>
          <w:rFonts w:ascii="Arial" w:hAnsi="Arial" w:cs="Arial"/>
        </w:rPr>
        <w:t>[Company Name]</w:t>
      </w:r>
      <w:r w:rsidRPr="00FF3F34">
        <w:rPr>
          <w:rFonts w:ascii="Arial" w:hAnsi="Arial" w:cs="Arial"/>
        </w:rPr>
        <w:t>’s</w:t>
      </w:r>
      <w:r w:rsidR="00224A67" w:rsidRPr="00FF3F34">
        <w:rPr>
          <w:rFonts w:ascii="Arial" w:hAnsi="Arial" w:cs="Arial"/>
        </w:rPr>
        <w:t xml:space="preserve"> </w:t>
      </w:r>
      <w:r w:rsidRPr="00FF3F34">
        <w:rPr>
          <w:rFonts w:ascii="Arial" w:hAnsi="Arial" w:cs="Arial"/>
        </w:rPr>
        <w:t>p</w:t>
      </w:r>
      <w:r w:rsidR="004B42FB" w:rsidRPr="00FF3F34">
        <w:rPr>
          <w:rFonts w:ascii="Arial" w:hAnsi="Arial" w:cs="Arial"/>
        </w:rPr>
        <w:t>residen</w:t>
      </w:r>
      <w:r w:rsidR="00224A67" w:rsidRPr="00FF3F34">
        <w:rPr>
          <w:rFonts w:ascii="Arial" w:hAnsi="Arial" w:cs="Arial"/>
        </w:rPr>
        <w:t xml:space="preserve">t. </w:t>
      </w:r>
    </w:p>
    <w:p w14:paraId="72621C8E" w14:textId="582178D7" w:rsidR="004B42FB" w:rsidRPr="004B42FB" w:rsidRDefault="004B42FB" w:rsidP="004B42FB">
      <w:pPr>
        <w:rPr>
          <w:rFonts w:ascii="Arial" w:hAnsi="Arial" w:cs="Arial"/>
        </w:rPr>
      </w:pPr>
      <w:r w:rsidRPr="004B42FB">
        <w:rPr>
          <w:rFonts w:ascii="Arial" w:hAnsi="Arial" w:cs="Arial"/>
          <w:b/>
          <w:bCs/>
        </w:rPr>
        <w:br/>
        <w:t>EXCLUSIONS</w:t>
      </w:r>
      <w:r w:rsidRPr="004B42FB">
        <w:rPr>
          <w:rFonts w:ascii="Arial" w:hAnsi="Arial" w:cs="Arial"/>
        </w:rPr>
        <w:t xml:space="preserve"> </w:t>
      </w:r>
      <w:r w:rsidRPr="004B42FB">
        <w:rPr>
          <w:rFonts w:ascii="Arial" w:hAnsi="Arial" w:cs="Arial"/>
        </w:rPr>
        <w:br/>
        <w:t xml:space="preserve">Suggestions that cannot be considered include the following: </w:t>
      </w:r>
    </w:p>
    <w:p w14:paraId="72621C8F" w14:textId="77777777" w:rsidR="004B42FB" w:rsidRPr="00FF3F34" w:rsidRDefault="004B42FB" w:rsidP="00FF3F34">
      <w:pPr>
        <w:pStyle w:val="ListParagraph"/>
        <w:numPr>
          <w:ilvl w:val="0"/>
          <w:numId w:val="6"/>
        </w:numPr>
        <w:rPr>
          <w:rFonts w:ascii="Arial" w:hAnsi="Arial" w:cs="Arial"/>
        </w:rPr>
      </w:pPr>
      <w:r w:rsidRPr="00FF3F34">
        <w:rPr>
          <w:rFonts w:ascii="Arial" w:hAnsi="Arial" w:cs="Arial"/>
        </w:rPr>
        <w:t>Suggestions that would normally be expected in the performance of the employee's job or those that the employee can implement without higher-level approval.</w:t>
      </w:r>
    </w:p>
    <w:p w14:paraId="72621C90" w14:textId="77777777" w:rsidR="004B42FB" w:rsidRPr="00FF3F34" w:rsidRDefault="004B42FB" w:rsidP="00FF3F34">
      <w:pPr>
        <w:pStyle w:val="ListParagraph"/>
        <w:numPr>
          <w:ilvl w:val="0"/>
          <w:numId w:val="6"/>
        </w:numPr>
        <w:rPr>
          <w:rFonts w:ascii="Arial" w:hAnsi="Arial" w:cs="Arial"/>
        </w:rPr>
      </w:pPr>
      <w:r w:rsidRPr="00FF3F34">
        <w:rPr>
          <w:rFonts w:ascii="Arial" w:hAnsi="Arial" w:cs="Arial"/>
        </w:rPr>
        <w:t>Suggestions that do not include a solution or plan for improvement.</w:t>
      </w:r>
    </w:p>
    <w:p w14:paraId="72621C91" w14:textId="77777777" w:rsidR="004B42FB" w:rsidRPr="00FF3F34" w:rsidRDefault="004B42FB" w:rsidP="00FF3F34">
      <w:pPr>
        <w:pStyle w:val="ListParagraph"/>
        <w:numPr>
          <w:ilvl w:val="0"/>
          <w:numId w:val="6"/>
        </w:numPr>
        <w:rPr>
          <w:rFonts w:ascii="Arial" w:hAnsi="Arial" w:cs="Arial"/>
        </w:rPr>
      </w:pPr>
      <w:r w:rsidRPr="00FF3F34">
        <w:rPr>
          <w:rFonts w:ascii="Arial" w:hAnsi="Arial" w:cs="Arial"/>
        </w:rPr>
        <w:lastRenderedPageBreak/>
        <w:t>Suggestions that result from assigned audits, surveys, reviews or research.</w:t>
      </w:r>
    </w:p>
    <w:p w14:paraId="72621C92" w14:textId="1DA75B8D" w:rsidR="004B42FB" w:rsidRPr="00FF3F34" w:rsidRDefault="004B42FB" w:rsidP="00FF3F34">
      <w:pPr>
        <w:pStyle w:val="ListParagraph"/>
        <w:numPr>
          <w:ilvl w:val="0"/>
          <w:numId w:val="6"/>
        </w:numPr>
        <w:rPr>
          <w:rFonts w:ascii="Arial" w:hAnsi="Arial" w:cs="Arial"/>
        </w:rPr>
      </w:pPr>
      <w:r w:rsidRPr="00FF3F34">
        <w:rPr>
          <w:rFonts w:ascii="Arial" w:hAnsi="Arial" w:cs="Arial"/>
        </w:rPr>
        <w:t xml:space="preserve">Suggestions that </w:t>
      </w:r>
      <w:r w:rsidR="00224A67" w:rsidRPr="00FF3F34">
        <w:rPr>
          <w:rFonts w:ascii="Arial" w:hAnsi="Arial" w:cs="Arial"/>
        </w:rPr>
        <w:t>are</w:t>
      </w:r>
      <w:r w:rsidRPr="00FF3F34">
        <w:rPr>
          <w:rFonts w:ascii="Arial" w:hAnsi="Arial" w:cs="Arial"/>
        </w:rPr>
        <w:t xml:space="preserve"> already under active consideration</w:t>
      </w:r>
      <w:r w:rsidR="00224A67" w:rsidRPr="00FF3F34">
        <w:rPr>
          <w:rFonts w:ascii="Arial" w:hAnsi="Arial" w:cs="Arial"/>
        </w:rPr>
        <w:t xml:space="preserve"> by management. </w:t>
      </w:r>
    </w:p>
    <w:p w14:paraId="72621C93" w14:textId="2035309F" w:rsidR="004B42FB" w:rsidRPr="00FF3F34" w:rsidRDefault="004B42FB" w:rsidP="00FF3F34">
      <w:pPr>
        <w:pStyle w:val="ListParagraph"/>
        <w:numPr>
          <w:ilvl w:val="0"/>
          <w:numId w:val="6"/>
        </w:numPr>
        <w:rPr>
          <w:rFonts w:ascii="Arial" w:hAnsi="Arial" w:cs="Arial"/>
        </w:rPr>
      </w:pPr>
      <w:r w:rsidRPr="00FF3F34">
        <w:rPr>
          <w:rFonts w:ascii="Arial" w:hAnsi="Arial" w:cs="Arial"/>
        </w:rPr>
        <w:t>Suggestions that duplicate another suggestion under consideration or for which an award previously has been granted.</w:t>
      </w:r>
    </w:p>
    <w:p w14:paraId="72621C94" w14:textId="77777777" w:rsidR="004B42FB" w:rsidRPr="00FF3F34" w:rsidRDefault="004B42FB" w:rsidP="00FF3F34">
      <w:pPr>
        <w:pStyle w:val="ListParagraph"/>
        <w:numPr>
          <w:ilvl w:val="0"/>
          <w:numId w:val="6"/>
        </w:numPr>
        <w:rPr>
          <w:rFonts w:ascii="Arial" w:hAnsi="Arial" w:cs="Arial"/>
        </w:rPr>
      </w:pPr>
      <w:r w:rsidRPr="00FF3F34">
        <w:rPr>
          <w:rFonts w:ascii="Arial" w:hAnsi="Arial" w:cs="Arial"/>
        </w:rPr>
        <w:t>Suggestions that propose changes to salaries, benefits or employment classifications.</w:t>
      </w:r>
    </w:p>
    <w:p w14:paraId="72621C95" w14:textId="77777777" w:rsidR="004B42FB" w:rsidRPr="00FF3F34" w:rsidRDefault="004B42FB" w:rsidP="00FF3F34">
      <w:pPr>
        <w:pStyle w:val="ListParagraph"/>
        <w:numPr>
          <w:ilvl w:val="0"/>
          <w:numId w:val="6"/>
        </w:numPr>
        <w:rPr>
          <w:rFonts w:ascii="Arial" w:hAnsi="Arial" w:cs="Arial"/>
        </w:rPr>
      </w:pPr>
      <w:r w:rsidRPr="00FF3F34">
        <w:rPr>
          <w:rFonts w:ascii="Arial" w:hAnsi="Arial" w:cs="Arial"/>
        </w:rPr>
        <w:t>Suggestions that are already enforced by existing laws or regulations.</w:t>
      </w:r>
    </w:p>
    <w:p w14:paraId="72621C96" w14:textId="77777777" w:rsidR="004B42FB" w:rsidRPr="00FF3F34" w:rsidRDefault="004B42FB" w:rsidP="00FF3F34">
      <w:pPr>
        <w:pStyle w:val="ListParagraph"/>
        <w:numPr>
          <w:ilvl w:val="0"/>
          <w:numId w:val="6"/>
        </w:numPr>
        <w:rPr>
          <w:rFonts w:ascii="Arial" w:hAnsi="Arial" w:cs="Arial"/>
        </w:rPr>
      </w:pPr>
      <w:r w:rsidRPr="00FF3F34">
        <w:rPr>
          <w:rFonts w:ascii="Arial" w:hAnsi="Arial" w:cs="Arial"/>
        </w:rPr>
        <w:t>Suggestions that pertain to complaints or grievances, open or closed.</w:t>
      </w:r>
    </w:p>
    <w:p w14:paraId="72621C9B" w14:textId="5D2FBF3B" w:rsidR="004B42FB" w:rsidRPr="004B42FB" w:rsidRDefault="004B42FB" w:rsidP="00FF3F34">
      <w:pPr>
        <w:rPr>
          <w:rFonts w:ascii="Arial" w:hAnsi="Arial" w:cs="Arial"/>
          <w:color w:val="1F497D"/>
        </w:rPr>
      </w:pPr>
      <w:r w:rsidRPr="004B42FB">
        <w:rPr>
          <w:rFonts w:ascii="Arial" w:hAnsi="Arial" w:cs="Arial"/>
        </w:rPr>
        <w:t> </w:t>
      </w:r>
    </w:p>
    <w:p w14:paraId="72621C9C" w14:textId="77777777" w:rsidR="004B42FB" w:rsidRDefault="004B42FB" w:rsidP="004B42FB"/>
    <w:sectPr w:rsidR="004B42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9E1063"/>
    <w:multiLevelType w:val="hybridMultilevel"/>
    <w:tmpl w:val="C9123F3C"/>
    <w:lvl w:ilvl="0" w:tplc="4686E80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822529"/>
    <w:multiLevelType w:val="hybridMultilevel"/>
    <w:tmpl w:val="A9D24DF0"/>
    <w:lvl w:ilvl="0" w:tplc="4686E80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FF26A4"/>
    <w:multiLevelType w:val="hybridMultilevel"/>
    <w:tmpl w:val="CCC8CB6A"/>
    <w:lvl w:ilvl="0" w:tplc="4686E80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234B31"/>
    <w:multiLevelType w:val="multilevel"/>
    <w:tmpl w:val="924AC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A537CBE"/>
    <w:multiLevelType w:val="hybridMultilevel"/>
    <w:tmpl w:val="CFE62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5879ED"/>
    <w:multiLevelType w:val="hybridMultilevel"/>
    <w:tmpl w:val="7D0C9F6C"/>
    <w:lvl w:ilvl="0" w:tplc="4686E80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2FB"/>
    <w:rsid w:val="00224A67"/>
    <w:rsid w:val="00332C43"/>
    <w:rsid w:val="00493AFE"/>
    <w:rsid w:val="004B42FB"/>
    <w:rsid w:val="006B0154"/>
    <w:rsid w:val="008879F2"/>
    <w:rsid w:val="00942F48"/>
    <w:rsid w:val="009B45B2"/>
    <w:rsid w:val="00A30D31"/>
    <w:rsid w:val="00FD7CE7"/>
    <w:rsid w:val="00FF3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21C69"/>
  <w15:chartTrackingRefBased/>
  <w15:docId w15:val="{C7064E95-1E92-44A2-8569-C27E80509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42FB"/>
    <w:rPr>
      <w:color w:val="0563C1" w:themeColor="hyperlink"/>
      <w:u w:val="single"/>
    </w:rPr>
  </w:style>
  <w:style w:type="character" w:styleId="UnresolvedMention">
    <w:name w:val="Unresolved Mention"/>
    <w:basedOn w:val="DefaultParagraphFont"/>
    <w:uiPriority w:val="99"/>
    <w:semiHidden/>
    <w:unhideWhenUsed/>
    <w:rsid w:val="00942F48"/>
    <w:rPr>
      <w:color w:val="808080"/>
      <w:shd w:val="clear" w:color="auto" w:fill="E6E6E6"/>
    </w:rPr>
  </w:style>
  <w:style w:type="paragraph" w:styleId="ListParagraph">
    <w:name w:val="List Paragraph"/>
    <w:basedOn w:val="Normal"/>
    <w:uiPriority w:val="34"/>
    <w:qFormat/>
    <w:rsid w:val="00493A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2682892">
      <w:bodyDiv w:val="1"/>
      <w:marLeft w:val="0"/>
      <w:marRight w:val="0"/>
      <w:marTop w:val="0"/>
      <w:marBottom w:val="0"/>
      <w:divBdr>
        <w:top w:val="none" w:sz="0" w:space="0" w:color="auto"/>
        <w:left w:val="none" w:sz="0" w:space="0" w:color="auto"/>
        <w:bottom w:val="none" w:sz="0" w:space="0" w:color="auto"/>
        <w:right w:val="none" w:sz="0" w:space="0" w:color="auto"/>
      </w:divBdr>
      <w:divsChild>
        <w:div w:id="2132895125">
          <w:marLeft w:val="0"/>
          <w:marRight w:val="0"/>
          <w:marTop w:val="0"/>
          <w:marBottom w:val="0"/>
          <w:divBdr>
            <w:top w:val="none" w:sz="0" w:space="0" w:color="auto"/>
            <w:left w:val="none" w:sz="0" w:space="0" w:color="auto"/>
            <w:bottom w:val="none" w:sz="0" w:space="0" w:color="auto"/>
            <w:right w:val="none" w:sz="0" w:space="0" w:color="auto"/>
          </w:divBdr>
          <w:divsChild>
            <w:div w:id="1317999573">
              <w:marLeft w:val="0"/>
              <w:marRight w:val="0"/>
              <w:marTop w:val="0"/>
              <w:marBottom w:val="0"/>
              <w:divBdr>
                <w:top w:val="single" w:sz="8" w:space="9" w:color="auto"/>
                <w:left w:val="single" w:sz="8" w:space="4" w:color="auto"/>
                <w:bottom w:val="single" w:sz="8" w:space="1" w:color="auto"/>
                <w:right w:val="single" w:sz="8" w:space="4"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667</Words>
  <Characters>3805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SHRM</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Yvette</dc:creator>
  <cp:keywords/>
  <dc:description/>
  <cp:lastModifiedBy>Patton, Erin</cp:lastModifiedBy>
  <cp:revision>3</cp:revision>
  <dcterms:created xsi:type="dcterms:W3CDTF">2022-01-06T19:21:00Z</dcterms:created>
  <dcterms:modified xsi:type="dcterms:W3CDTF">2022-01-06T19:22:00Z</dcterms:modified>
</cp:coreProperties>
</file>