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42A9" w14:textId="77777777" w:rsidR="00B0312F" w:rsidRPr="00AC57ED" w:rsidRDefault="00B0312F" w:rsidP="00B0312F">
      <w:pPr>
        <w:rPr>
          <w:rFonts w:ascii="Arial" w:hAnsi="Arial" w:cs="Arial"/>
          <w:b/>
        </w:rPr>
      </w:pPr>
      <w:r w:rsidRPr="00AC57ED">
        <w:rPr>
          <w:rFonts w:ascii="Arial" w:hAnsi="Arial" w:cs="Arial"/>
          <w:b/>
        </w:rPr>
        <w:t xml:space="preserve">Checklist: EEO-1 Reporting </w:t>
      </w:r>
    </w:p>
    <w:p w14:paraId="02FE157B" w14:textId="77777777" w:rsidR="00B0312F" w:rsidRDefault="00B0312F" w:rsidP="00B031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368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4C68F6">
        <w:rPr>
          <w:rFonts w:ascii="Arial" w:hAnsi="Arial" w:cs="Arial"/>
        </w:rPr>
        <w:t xml:space="preserve">Determine if company is required to complete the EEO-1 Report. </w:t>
      </w:r>
    </w:p>
    <w:p w14:paraId="688AB91E" w14:textId="77777777" w:rsidR="00B0312F" w:rsidRPr="00AC57ED" w:rsidRDefault="00B0312F" w:rsidP="00B0312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C57ED">
        <w:rPr>
          <w:rFonts w:ascii="Arial" w:hAnsi="Arial" w:cs="Arial"/>
        </w:rPr>
        <w:t xml:space="preserve">All private </w:t>
      </w:r>
      <w:proofErr w:type="gramStart"/>
      <w:r w:rsidRPr="00AC57ED">
        <w:rPr>
          <w:rFonts w:ascii="Arial" w:hAnsi="Arial" w:cs="Arial"/>
        </w:rPr>
        <w:t>employers</w:t>
      </w:r>
      <w:proofErr w:type="gramEnd"/>
      <w:r w:rsidRPr="00AC57ED">
        <w:rPr>
          <w:rFonts w:ascii="Arial" w:hAnsi="Arial" w:cs="Arial"/>
        </w:rPr>
        <w:t xml:space="preserve"> with 100 or more employees</w:t>
      </w:r>
      <w:r>
        <w:rPr>
          <w:rFonts w:ascii="Arial" w:hAnsi="Arial" w:cs="Arial"/>
        </w:rPr>
        <w:t>.</w:t>
      </w:r>
      <w:r w:rsidRPr="00AC57ED">
        <w:rPr>
          <w:rFonts w:ascii="Arial" w:hAnsi="Arial" w:cs="Arial"/>
        </w:rPr>
        <w:t xml:space="preserve"> </w:t>
      </w:r>
    </w:p>
    <w:p w14:paraId="2CEC9EE6" w14:textId="77777777" w:rsidR="00B0312F" w:rsidRDefault="00B0312F" w:rsidP="00B0312F">
      <w:pPr>
        <w:pStyle w:val="ListParagraph"/>
        <w:rPr>
          <w:rFonts w:ascii="Arial" w:hAnsi="Arial" w:cs="Arial"/>
        </w:rPr>
      </w:pPr>
    </w:p>
    <w:p w14:paraId="0C98B6B9" w14:textId="77777777" w:rsidR="00B0312F" w:rsidRDefault="00B0312F" w:rsidP="00B0312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14:paraId="59A69087" w14:textId="77777777" w:rsidR="00B0312F" w:rsidRPr="00AC57ED" w:rsidRDefault="00B0312F" w:rsidP="00B0312F">
      <w:pPr>
        <w:pStyle w:val="ListParagraph"/>
        <w:rPr>
          <w:rFonts w:ascii="Arial" w:hAnsi="Arial" w:cs="Arial"/>
        </w:rPr>
      </w:pPr>
    </w:p>
    <w:p w14:paraId="66036328" w14:textId="77777777" w:rsidR="00B0312F" w:rsidRPr="00AC57ED" w:rsidRDefault="00B0312F" w:rsidP="00B0312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C57ED">
        <w:rPr>
          <w:rFonts w:ascii="Arial" w:hAnsi="Arial" w:cs="Arial"/>
        </w:rPr>
        <w:t xml:space="preserve">All federal contractors and first-tier subcontractors with 50 or more employees AND contracts of at least $50,000 are obligated to complete and file the report each year. </w:t>
      </w:r>
    </w:p>
    <w:p w14:paraId="2AFFE6C0" w14:textId="77777777" w:rsidR="00B0312F" w:rsidRPr="004C68F6" w:rsidRDefault="00B0312F" w:rsidP="00B031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301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4C68F6">
        <w:rPr>
          <w:rFonts w:ascii="Arial" w:hAnsi="Arial" w:cs="Arial"/>
        </w:rPr>
        <w:t>Determine which form</w:t>
      </w:r>
      <w:r>
        <w:rPr>
          <w:rFonts w:ascii="Arial" w:hAnsi="Arial" w:cs="Arial"/>
        </w:rPr>
        <w:t>(s)</w:t>
      </w:r>
      <w:r w:rsidRPr="004C68F6">
        <w:rPr>
          <w:rFonts w:ascii="Arial" w:hAnsi="Arial" w:cs="Arial"/>
        </w:rPr>
        <w:t xml:space="preserve"> must be completed: </w:t>
      </w:r>
    </w:p>
    <w:p w14:paraId="364418D6" w14:textId="77777777" w:rsidR="00B0312F" w:rsidRPr="00AC57ED" w:rsidRDefault="00B0312F" w:rsidP="00B0312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C57ED">
        <w:rPr>
          <w:rFonts w:ascii="Arial" w:hAnsi="Arial" w:cs="Arial"/>
        </w:rPr>
        <w:t xml:space="preserve">Single-establishment companies: </w:t>
      </w:r>
      <w:r w:rsidRPr="00F826FC">
        <w:rPr>
          <w:rFonts w:ascii="Arial" w:hAnsi="Arial" w:cs="Arial"/>
        </w:rPr>
        <w:t>Single-Establishment Employer Report.</w:t>
      </w:r>
    </w:p>
    <w:p w14:paraId="6D798F59" w14:textId="77777777" w:rsidR="00B0312F" w:rsidRDefault="00B0312F" w:rsidP="00B0312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C57ED">
        <w:rPr>
          <w:rFonts w:ascii="Arial" w:hAnsi="Arial" w:cs="Arial"/>
        </w:rPr>
        <w:t xml:space="preserve">Multi-establishment companies: </w:t>
      </w:r>
    </w:p>
    <w:p w14:paraId="6B7D3FB7" w14:textId="77777777" w:rsidR="00B0312F" w:rsidRDefault="00B0312F" w:rsidP="00B0312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Consolidated Report: a report including all employees of the company categorized by race/ethnicity, </w:t>
      </w:r>
      <w:proofErr w:type="gramStart"/>
      <w:r>
        <w:rPr>
          <w:rFonts w:ascii="Arial" w:hAnsi="Arial" w:cs="Arial"/>
        </w:rPr>
        <w:t>sex</w:t>
      </w:r>
      <w:proofErr w:type="gramEnd"/>
      <w:r>
        <w:rPr>
          <w:rFonts w:ascii="Arial" w:hAnsi="Arial" w:cs="Arial"/>
        </w:rPr>
        <w:t xml:space="preserve"> and job category.</w:t>
      </w:r>
    </w:p>
    <w:p w14:paraId="3F024F62" w14:textId="77777777" w:rsidR="00B0312F" w:rsidRDefault="00B0312F" w:rsidP="00B0312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Headquarters Report: a </w:t>
      </w:r>
      <w:r w:rsidRPr="00AC57ED">
        <w:rPr>
          <w:rFonts w:ascii="Arial" w:hAnsi="Arial" w:cs="Arial"/>
        </w:rPr>
        <w:t>report covering th</w:t>
      </w:r>
      <w:r>
        <w:rPr>
          <w:rFonts w:ascii="Arial" w:hAnsi="Arial" w:cs="Arial"/>
        </w:rPr>
        <w:t xml:space="preserve">ose working at the </w:t>
      </w:r>
      <w:r w:rsidRPr="00AC57ED">
        <w:rPr>
          <w:rFonts w:ascii="Arial" w:hAnsi="Arial" w:cs="Arial"/>
        </w:rPr>
        <w:t>headquarters office</w:t>
      </w:r>
      <w:r>
        <w:rPr>
          <w:rFonts w:ascii="Arial" w:hAnsi="Arial" w:cs="Arial"/>
        </w:rPr>
        <w:t>, including those working from home</w:t>
      </w:r>
      <w:r w:rsidRPr="00AC57ED">
        <w:rPr>
          <w:rFonts w:ascii="Arial" w:hAnsi="Arial" w:cs="Arial"/>
        </w:rPr>
        <w:t xml:space="preserve">.  </w:t>
      </w:r>
    </w:p>
    <w:p w14:paraId="56AC3ED6" w14:textId="77777777" w:rsidR="00B0312F" w:rsidRDefault="00B0312F" w:rsidP="00B0312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Establishment-Level Report(s): </w:t>
      </w:r>
      <w:r w:rsidRPr="00AC57ED">
        <w:rPr>
          <w:rFonts w:ascii="Arial" w:hAnsi="Arial" w:cs="Arial"/>
        </w:rPr>
        <w:t xml:space="preserve">a separate report for each </w:t>
      </w:r>
      <w:r>
        <w:rPr>
          <w:rFonts w:ascii="Arial" w:hAnsi="Arial" w:cs="Arial"/>
        </w:rPr>
        <w:t>non-headquarters establishment.</w:t>
      </w:r>
    </w:p>
    <w:p w14:paraId="28F38896" w14:textId="77777777" w:rsidR="00B0312F" w:rsidRPr="004C68F6" w:rsidRDefault="00B0312F" w:rsidP="00B031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84460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4C68F6">
        <w:rPr>
          <w:rFonts w:ascii="Arial" w:hAnsi="Arial" w:cs="Arial"/>
        </w:rPr>
        <w:t xml:space="preserve">Select one (1) pay period within the </w:t>
      </w:r>
      <w:r>
        <w:rPr>
          <w:rFonts w:ascii="Arial" w:hAnsi="Arial" w:cs="Arial"/>
        </w:rPr>
        <w:t>fourth</w:t>
      </w:r>
      <w:r w:rsidRPr="004C68F6">
        <w:rPr>
          <w:rFonts w:ascii="Arial" w:hAnsi="Arial" w:cs="Arial"/>
        </w:rPr>
        <w:t xml:space="preserve"> quarter (</w:t>
      </w:r>
      <w:r>
        <w:rPr>
          <w:rFonts w:ascii="Arial" w:hAnsi="Arial" w:cs="Arial"/>
        </w:rPr>
        <w:t>October, November, or December</w:t>
      </w:r>
      <w:r w:rsidRPr="004C68F6">
        <w:rPr>
          <w:rFonts w:ascii="Arial" w:hAnsi="Arial" w:cs="Arial"/>
        </w:rPr>
        <w:t>) of the current survey year to complete the EEO-1 Report.</w:t>
      </w:r>
      <w:r>
        <w:rPr>
          <w:rFonts w:ascii="Arial" w:hAnsi="Arial" w:cs="Arial"/>
        </w:rPr>
        <w:t xml:space="preserve"> The current survey year is the year prior to the year the EEO-1 is submitted. (</w:t>
      </w:r>
      <w:r w:rsidRPr="00364BC4">
        <w:rPr>
          <w:rFonts w:ascii="Arial" w:hAnsi="Arial" w:cs="Arial"/>
        </w:rPr>
        <w:t>Beginning with 2023 EEO-1 data collection, tentatively scheduled to open in 2024, an employer that meets the employee threshold for EEO-1 reporting purposes at any time during the fourth quarter (i.e., October 1 through December 31) of the reporting year, may not select a workforce snapshot period where it falls below the threshold in an effort to avoid the filing requirement.</w:t>
      </w:r>
      <w:r>
        <w:rPr>
          <w:rFonts w:ascii="Arial" w:hAnsi="Arial" w:cs="Arial"/>
        </w:rPr>
        <w:t>)</w:t>
      </w:r>
      <w:r w:rsidRPr="00364BC4">
        <w:rPr>
          <w:rFonts w:ascii="Arial" w:hAnsi="Arial" w:cs="Arial"/>
        </w:rPr>
        <w:t xml:space="preserve">  </w:t>
      </w:r>
    </w:p>
    <w:p w14:paraId="21CBAB1A" w14:textId="77777777" w:rsidR="00B0312F" w:rsidRDefault="00B0312F" w:rsidP="00B031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160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4C68F6">
        <w:rPr>
          <w:rFonts w:ascii="Arial" w:hAnsi="Arial" w:cs="Arial"/>
        </w:rPr>
        <w:t>Ensure self-identification forms and data are available from each employee</w:t>
      </w:r>
      <w:r>
        <w:rPr>
          <w:rFonts w:ascii="Arial" w:hAnsi="Arial" w:cs="Arial"/>
        </w:rPr>
        <w:t xml:space="preserve"> during the pay period selected. Organize employee data by l</w:t>
      </w:r>
      <w:r w:rsidRPr="004C68F6">
        <w:rPr>
          <w:rFonts w:ascii="Arial" w:hAnsi="Arial" w:cs="Arial"/>
        </w:rPr>
        <w:t>ist</w:t>
      </w:r>
      <w:r>
        <w:rPr>
          <w:rFonts w:ascii="Arial" w:hAnsi="Arial" w:cs="Arial"/>
        </w:rPr>
        <w:t>ing</w:t>
      </w:r>
      <w:r w:rsidRPr="004C68F6">
        <w:rPr>
          <w:rFonts w:ascii="Arial" w:hAnsi="Arial" w:cs="Arial"/>
        </w:rPr>
        <w:t xml:space="preserve"> all employees by location, job category and then by ethnicity, </w:t>
      </w:r>
      <w:proofErr w:type="gramStart"/>
      <w:r w:rsidRPr="004C68F6">
        <w:rPr>
          <w:rFonts w:ascii="Arial" w:hAnsi="Arial" w:cs="Arial"/>
        </w:rPr>
        <w:t>race</w:t>
      </w:r>
      <w:proofErr w:type="gramEnd"/>
      <w:r w:rsidRPr="004C68F6">
        <w:rPr>
          <w:rFonts w:ascii="Arial" w:hAnsi="Arial" w:cs="Arial"/>
        </w:rPr>
        <w:t xml:space="preserve"> and gender.</w:t>
      </w:r>
      <w:r>
        <w:rPr>
          <w:rFonts w:ascii="Arial" w:hAnsi="Arial" w:cs="Arial"/>
        </w:rPr>
        <w:t xml:space="preserve"> </w:t>
      </w:r>
    </w:p>
    <w:p w14:paraId="1D6FB84C" w14:textId="77777777" w:rsidR="00B0312F" w:rsidRPr="004C68F6" w:rsidRDefault="00B0312F" w:rsidP="00B031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8041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A75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Complete the </w:t>
      </w:r>
      <w:r w:rsidRPr="00DA756E">
        <w:rPr>
          <w:rFonts w:ascii="Arial" w:hAnsi="Arial" w:cs="Arial"/>
        </w:rPr>
        <w:t>EEO-1 Report online on or before March 31</w:t>
      </w:r>
      <w:r w:rsidRPr="00DA756E">
        <w:rPr>
          <w:rFonts w:ascii="Arial" w:hAnsi="Arial" w:cs="Arial"/>
          <w:vertAlign w:val="superscript"/>
        </w:rPr>
        <w:t>st</w:t>
      </w:r>
      <w:r w:rsidRPr="00DA756E">
        <w:rPr>
          <w:rFonts w:ascii="Arial" w:hAnsi="Arial" w:cs="Arial"/>
        </w:rPr>
        <w:t xml:space="preserve"> following the </w:t>
      </w:r>
      <w:r>
        <w:rPr>
          <w:rFonts w:ascii="Arial" w:hAnsi="Arial" w:cs="Arial"/>
        </w:rPr>
        <w:t>survey</w:t>
      </w:r>
      <w:r w:rsidRPr="00DA756E">
        <w:rPr>
          <w:rFonts w:ascii="Arial" w:hAnsi="Arial" w:cs="Arial"/>
        </w:rPr>
        <w:t xml:space="preserve"> year</w:t>
      </w:r>
      <w:r>
        <w:rPr>
          <w:rFonts w:ascii="Arial" w:hAnsi="Arial" w:cs="Arial"/>
        </w:rPr>
        <w:t xml:space="preserve"> (unless a delay is announced)</w:t>
      </w:r>
      <w:r w:rsidRPr="00DA75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1FE09C2" w14:textId="77777777" w:rsidR="00B0312F" w:rsidRPr="004C68F6" w:rsidRDefault="00B0312F" w:rsidP="00B031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334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Start the filing process by c</w:t>
      </w:r>
      <w:r w:rsidRPr="004C68F6">
        <w:rPr>
          <w:rFonts w:ascii="Arial" w:hAnsi="Arial" w:cs="Arial"/>
        </w:rPr>
        <w:t>omplet</w:t>
      </w:r>
      <w:r>
        <w:rPr>
          <w:rFonts w:ascii="Arial" w:hAnsi="Arial" w:cs="Arial"/>
        </w:rPr>
        <w:t>ing</w:t>
      </w:r>
      <w:r w:rsidRPr="004C68F6">
        <w:rPr>
          <w:rFonts w:ascii="Arial" w:hAnsi="Arial" w:cs="Arial"/>
        </w:rPr>
        <w:t xml:space="preserve"> the EEO-1 Online Application. First-time filers will need to register prior to completing the EEO-1 Report.  </w:t>
      </w:r>
    </w:p>
    <w:p w14:paraId="69C9429F" w14:textId="77777777" w:rsidR="00B0312F" w:rsidRPr="004C68F6" w:rsidRDefault="00B0312F" w:rsidP="00B031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510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Follow the prompts to enter employment data into </w:t>
      </w:r>
      <w:proofErr w:type="gramStart"/>
      <w:r>
        <w:rPr>
          <w:rFonts w:ascii="Arial" w:hAnsi="Arial" w:cs="Arial"/>
        </w:rPr>
        <w:t>online</w:t>
      </w:r>
      <w:proofErr w:type="gramEnd"/>
      <w:r>
        <w:rPr>
          <w:rFonts w:ascii="Arial" w:hAnsi="Arial" w:cs="Arial"/>
        </w:rPr>
        <w:t xml:space="preserve"> form. If an employer has challenges entering the data, contact the EEOC Filer Support Team.</w:t>
      </w:r>
    </w:p>
    <w:p w14:paraId="690DC439" w14:textId="77777777" w:rsidR="00B0312F" w:rsidRPr="004C68F6" w:rsidRDefault="00B0312F" w:rsidP="00B031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973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4C68F6">
        <w:rPr>
          <w:rFonts w:ascii="Arial" w:hAnsi="Arial" w:cs="Arial"/>
        </w:rPr>
        <w:t>Retain records for at least one year from the date of the making of the record.</w:t>
      </w:r>
    </w:p>
    <w:p w14:paraId="665375D7" w14:textId="490C8090" w:rsidR="004C68F6" w:rsidRPr="00950107" w:rsidRDefault="004C68F6" w:rsidP="00950107"/>
    <w:sectPr w:rsidR="004C68F6" w:rsidRPr="0095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A36"/>
    <w:multiLevelType w:val="multilevel"/>
    <w:tmpl w:val="232C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E292E"/>
    <w:multiLevelType w:val="multilevel"/>
    <w:tmpl w:val="17E0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61F7F"/>
    <w:multiLevelType w:val="hybridMultilevel"/>
    <w:tmpl w:val="ED98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B1679"/>
    <w:multiLevelType w:val="hybridMultilevel"/>
    <w:tmpl w:val="40926FF2"/>
    <w:lvl w:ilvl="0" w:tplc="54746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18B9"/>
    <w:multiLevelType w:val="hybridMultilevel"/>
    <w:tmpl w:val="1B5A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5689D"/>
    <w:multiLevelType w:val="hybridMultilevel"/>
    <w:tmpl w:val="B14C646E"/>
    <w:lvl w:ilvl="0" w:tplc="0AA265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32F6A"/>
    <w:multiLevelType w:val="multilevel"/>
    <w:tmpl w:val="624C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61325"/>
    <w:multiLevelType w:val="multilevel"/>
    <w:tmpl w:val="30D4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10BA4"/>
    <w:multiLevelType w:val="hybridMultilevel"/>
    <w:tmpl w:val="7C56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F19B5"/>
    <w:multiLevelType w:val="hybridMultilevel"/>
    <w:tmpl w:val="D02E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662B7"/>
    <w:multiLevelType w:val="multilevel"/>
    <w:tmpl w:val="C0A6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383830">
    <w:abstractNumId w:val="10"/>
  </w:num>
  <w:num w:numId="2" w16cid:durableId="417213256">
    <w:abstractNumId w:val="6"/>
  </w:num>
  <w:num w:numId="3" w16cid:durableId="1096095104">
    <w:abstractNumId w:val="0"/>
  </w:num>
  <w:num w:numId="4" w16cid:durableId="1940094947">
    <w:abstractNumId w:val="1"/>
  </w:num>
  <w:num w:numId="5" w16cid:durableId="691539719">
    <w:abstractNumId w:val="7"/>
  </w:num>
  <w:num w:numId="6" w16cid:durableId="1708800990">
    <w:abstractNumId w:val="3"/>
  </w:num>
  <w:num w:numId="7" w16cid:durableId="1988048050">
    <w:abstractNumId w:val="2"/>
  </w:num>
  <w:num w:numId="8" w16cid:durableId="996150204">
    <w:abstractNumId w:val="5"/>
  </w:num>
  <w:num w:numId="9" w16cid:durableId="979068005">
    <w:abstractNumId w:val="9"/>
  </w:num>
  <w:num w:numId="10" w16cid:durableId="828061834">
    <w:abstractNumId w:val="4"/>
  </w:num>
  <w:num w:numId="11" w16cid:durableId="180240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F6"/>
    <w:rsid w:val="000236ED"/>
    <w:rsid w:val="000351D5"/>
    <w:rsid w:val="00090243"/>
    <w:rsid w:val="000B357D"/>
    <w:rsid w:val="00104144"/>
    <w:rsid w:val="00104406"/>
    <w:rsid w:val="0017660D"/>
    <w:rsid w:val="00191307"/>
    <w:rsid w:val="001E6C9B"/>
    <w:rsid w:val="00292A59"/>
    <w:rsid w:val="002F6C8D"/>
    <w:rsid w:val="00344E19"/>
    <w:rsid w:val="00386C6A"/>
    <w:rsid w:val="00414EF6"/>
    <w:rsid w:val="00453F95"/>
    <w:rsid w:val="004C68F6"/>
    <w:rsid w:val="004E4200"/>
    <w:rsid w:val="0065335E"/>
    <w:rsid w:val="00702306"/>
    <w:rsid w:val="00730B2F"/>
    <w:rsid w:val="007A1B75"/>
    <w:rsid w:val="00950107"/>
    <w:rsid w:val="009744DA"/>
    <w:rsid w:val="00997190"/>
    <w:rsid w:val="009A066B"/>
    <w:rsid w:val="00A128DE"/>
    <w:rsid w:val="00A302CF"/>
    <w:rsid w:val="00A43E94"/>
    <w:rsid w:val="00AF1552"/>
    <w:rsid w:val="00B0312F"/>
    <w:rsid w:val="00BD46CB"/>
    <w:rsid w:val="00BE7F97"/>
    <w:rsid w:val="00C83309"/>
    <w:rsid w:val="00CE06CE"/>
    <w:rsid w:val="00D23D87"/>
    <w:rsid w:val="00D75FB8"/>
    <w:rsid w:val="00DE7166"/>
    <w:rsid w:val="00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174F"/>
  <w15:chartTrackingRefBased/>
  <w15:docId w15:val="{E83AAF57-68E9-4CF7-AC94-2C181062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8F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04144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0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9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46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0B2F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75FB8"/>
    <w:rPr>
      <w:i/>
      <w:iCs/>
    </w:rPr>
  </w:style>
  <w:style w:type="character" w:styleId="Strong">
    <w:name w:val="Strong"/>
    <w:basedOn w:val="DefaultParagraphFont"/>
    <w:uiPriority w:val="22"/>
    <w:qFormat/>
    <w:rsid w:val="00D75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22572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725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986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E07A-0695-4615-889A-6B187B15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Lau, Shari</cp:lastModifiedBy>
  <cp:revision>10</cp:revision>
  <dcterms:created xsi:type="dcterms:W3CDTF">2021-08-30T17:42:00Z</dcterms:created>
  <dcterms:modified xsi:type="dcterms:W3CDTF">2023-09-13T16:54:00Z</dcterms:modified>
</cp:coreProperties>
</file>