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82F2" w14:textId="77777777" w:rsidR="00985F67" w:rsidRDefault="00985F67" w:rsidP="00B7571A">
      <w:pPr>
        <w:spacing w:after="150" w:line="340" w:lineRule="atLeast"/>
        <w:rPr>
          <w:b/>
          <w:bCs/>
        </w:rPr>
      </w:pPr>
      <w:r w:rsidRPr="00985F67">
        <w:rPr>
          <w:b/>
          <w:bCs/>
        </w:rPr>
        <w:t>Checklist: Acquisition HR Due Diligence</w:t>
      </w:r>
      <w:r w:rsidRPr="00985F67">
        <w:rPr>
          <w:b/>
          <w:bCs/>
        </w:rPr>
        <w:t xml:space="preserve"> </w:t>
      </w:r>
    </w:p>
    <w:p w14:paraId="79611F0A" w14:textId="227EE3F9" w:rsidR="0081275A" w:rsidRPr="00B824E9" w:rsidRDefault="00B824E9" w:rsidP="00B7571A">
      <w:pPr>
        <w:spacing w:after="150" w:line="340" w:lineRule="atLeast"/>
        <w:rPr>
          <w:rFonts w:eastAsia="Times New Roman"/>
        </w:rPr>
      </w:pPr>
      <w:r w:rsidRPr="00B824E9">
        <w:rPr>
          <w:rFonts w:eastAsia="Times New Roman"/>
        </w:rPr>
        <w:t xml:space="preserve">The following are general considerations for review of human resources before and during an acquisition. </w:t>
      </w:r>
      <w:r w:rsidR="00E35849">
        <w:rPr>
          <w:rFonts w:eastAsia="Times New Roman"/>
        </w:rPr>
        <w:t xml:space="preserve">This list is not all inclusive and employers should engage with legal counsel during the acquisition process. </w:t>
      </w:r>
    </w:p>
    <w:p w14:paraId="365E7549" w14:textId="77777777" w:rsidR="0081275A" w:rsidRDefault="0081275A" w:rsidP="00B7571A">
      <w:pPr>
        <w:spacing w:after="150" w:line="340" w:lineRule="atLeast"/>
        <w:rPr>
          <w:rFonts w:eastAsia="Times New Roman"/>
          <w:b/>
          <w:bCs/>
        </w:rPr>
      </w:pPr>
    </w:p>
    <w:p w14:paraId="10B5494C" w14:textId="1DF0B50D" w:rsidR="00B7571A" w:rsidRPr="003A101B" w:rsidRDefault="00B7571A" w:rsidP="00B7571A">
      <w:pPr>
        <w:spacing w:after="150" w:line="340" w:lineRule="atLeast"/>
        <w:rPr>
          <w:rFonts w:eastAsia="Times New Roman"/>
          <w:b/>
          <w:bCs/>
        </w:rPr>
      </w:pPr>
      <w:r w:rsidRPr="003A101B">
        <w:rPr>
          <w:rFonts w:eastAsia="Times New Roman"/>
          <w:b/>
          <w:bCs/>
        </w:rPr>
        <w:t>Management</w:t>
      </w:r>
    </w:p>
    <w:p w14:paraId="15C99C9D" w14:textId="3AE57521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104652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Review of organization chart. </w:t>
      </w:r>
    </w:p>
    <w:p w14:paraId="7289FFC2" w14:textId="4D491675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1971786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Arrangement of management functions. </w:t>
      </w:r>
    </w:p>
    <w:p w14:paraId="3325B5AE" w14:textId="33437021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14667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Employment contracts (written and oral). </w:t>
      </w:r>
    </w:p>
    <w:p w14:paraId="09BC8845" w14:textId="11B53467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123041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Employment agreements, consulting agreements, non-compete agreements. </w:t>
      </w:r>
    </w:p>
    <w:p w14:paraId="48B7A5F5" w14:textId="32E503A4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128908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Key employee listing with salary, title and duties. </w:t>
      </w:r>
    </w:p>
    <w:p w14:paraId="4866885D" w14:textId="7579DC03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28064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Executive management biographies.</w:t>
      </w:r>
    </w:p>
    <w:p w14:paraId="208A21E4" w14:textId="66355942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137384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Indemnification agreements. </w:t>
      </w:r>
    </w:p>
    <w:p w14:paraId="6E42F3F4" w14:textId="6647B3ED" w:rsidR="00B7571A" w:rsidRPr="003A101B" w:rsidRDefault="00B7571A" w:rsidP="00B7571A">
      <w:pPr>
        <w:spacing w:after="150" w:line="340" w:lineRule="atLeast"/>
        <w:rPr>
          <w:rFonts w:eastAsia="Times New Roman"/>
          <w:b/>
          <w:bCs/>
        </w:rPr>
      </w:pPr>
      <w:r w:rsidRPr="003A101B">
        <w:rPr>
          <w:rFonts w:eastAsia="Times New Roman"/>
          <w:b/>
          <w:bCs/>
        </w:rPr>
        <w:t>Employee Census Data</w:t>
      </w:r>
    </w:p>
    <w:p w14:paraId="1995C676" w14:textId="45D5DCBA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863822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Date of birth. </w:t>
      </w:r>
    </w:p>
    <w:p w14:paraId="21EB6939" w14:textId="250CC20B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402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Age. </w:t>
      </w:r>
    </w:p>
    <w:p w14:paraId="5F3066B4" w14:textId="6C08731E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156710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Date of hire. </w:t>
      </w:r>
    </w:p>
    <w:p w14:paraId="5EE0EDAB" w14:textId="1F150EE6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319820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Salary. </w:t>
      </w:r>
    </w:p>
    <w:p w14:paraId="760A90A2" w14:textId="0339E445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299918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Sex. </w:t>
      </w:r>
    </w:p>
    <w:p w14:paraId="0E5B9D0D" w14:textId="54E7B604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1344899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Job location. </w:t>
      </w:r>
    </w:p>
    <w:p w14:paraId="6BA4BB7C" w14:textId="39F5846B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194464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Position. </w:t>
      </w:r>
    </w:p>
    <w:p w14:paraId="29B973FE" w14:textId="48DEA333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109050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Average scheduled hours.</w:t>
      </w:r>
    </w:p>
    <w:p w14:paraId="4AA39923" w14:textId="307BAFD4" w:rsidR="00B7571A" w:rsidRPr="009B6186" w:rsidRDefault="009B6186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173369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FLSA status (exempt/non-exempt).</w:t>
      </w:r>
    </w:p>
    <w:p w14:paraId="535FDCA1" w14:textId="40C93765" w:rsidR="00FB0BF5" w:rsidRPr="003A101B" w:rsidRDefault="00FB0BF5" w:rsidP="00FB0BF5">
      <w:pPr>
        <w:spacing w:after="150" w:line="340" w:lineRule="atLeast"/>
        <w:rPr>
          <w:rFonts w:eastAsia="Times New Roman"/>
          <w:b/>
          <w:bCs/>
        </w:rPr>
      </w:pPr>
      <w:r w:rsidRPr="003A101B">
        <w:rPr>
          <w:rFonts w:eastAsia="Times New Roman"/>
          <w:b/>
          <w:bCs/>
        </w:rPr>
        <w:t xml:space="preserve">Employee Benefit Plans </w:t>
      </w:r>
    </w:p>
    <w:p w14:paraId="559E8750" w14:textId="7E00C36D" w:rsidR="00FB0BF5" w:rsidRPr="009B6186" w:rsidRDefault="00B7571A" w:rsidP="00D3512F">
      <w:pPr>
        <w:spacing w:after="150" w:line="340" w:lineRule="atLeast"/>
        <w:rPr>
          <w:rFonts w:eastAsia="Times New Roman"/>
        </w:rPr>
      </w:pPr>
      <w:r w:rsidRPr="009B6186">
        <w:rPr>
          <w:rFonts w:eastAsia="Times New Roman"/>
        </w:rPr>
        <w:t>Information for all g</w:t>
      </w:r>
      <w:r w:rsidR="00FB0BF5" w:rsidRPr="009B6186">
        <w:rPr>
          <w:rFonts w:eastAsia="Times New Roman"/>
        </w:rPr>
        <w:t>roup life, health, accident and disability</w:t>
      </w:r>
      <w:r w:rsidRPr="009B6186">
        <w:rPr>
          <w:rFonts w:eastAsia="Times New Roman"/>
        </w:rPr>
        <w:t xml:space="preserve"> plans.</w:t>
      </w:r>
    </w:p>
    <w:p w14:paraId="7891EF02" w14:textId="7B47F403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998250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Carriers for each plan. </w:t>
      </w:r>
    </w:p>
    <w:p w14:paraId="118B1837" w14:textId="4CF439D2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243541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Amount of premium paid by employees for each plan. </w:t>
      </w:r>
    </w:p>
    <w:p w14:paraId="202CAC75" w14:textId="3BAF1ED9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1764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Amount of premium paid by employer for each plan. </w:t>
      </w:r>
    </w:p>
    <w:p w14:paraId="6CE0BA00" w14:textId="123D4A94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959092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Last two years claims data for medical. </w:t>
      </w:r>
    </w:p>
    <w:p w14:paraId="044C865E" w14:textId="348D1145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392169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Number of employees</w:t>
      </w:r>
      <w:r w:rsidR="00FB0BF5" w:rsidRPr="009B6186">
        <w:rPr>
          <w:rFonts w:eastAsia="Times New Roman"/>
        </w:rPr>
        <w:t xml:space="preserve"> on long-term disabilit</w:t>
      </w:r>
      <w:r w:rsidR="00685C9F" w:rsidRPr="009B6186">
        <w:rPr>
          <w:rFonts w:eastAsia="Times New Roman"/>
        </w:rPr>
        <w:t>y</w:t>
      </w:r>
      <w:r w:rsidR="00FB0BF5" w:rsidRPr="009B6186">
        <w:rPr>
          <w:rFonts w:eastAsia="Times New Roman"/>
        </w:rPr>
        <w:t xml:space="preserve">. </w:t>
      </w:r>
    </w:p>
    <w:p w14:paraId="06CB7B13" w14:textId="24A7E88D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32941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Number of employees</w:t>
      </w:r>
      <w:r w:rsidR="00FB0BF5" w:rsidRPr="009B6186">
        <w:rPr>
          <w:rFonts w:eastAsia="Times New Roman"/>
        </w:rPr>
        <w:t xml:space="preserve"> on short-term disability</w:t>
      </w:r>
      <w:r w:rsidR="00685C9F" w:rsidRPr="009B6186">
        <w:rPr>
          <w:rFonts w:eastAsia="Times New Roman"/>
        </w:rPr>
        <w:t>.</w:t>
      </w:r>
    </w:p>
    <w:p w14:paraId="473D40D9" w14:textId="2240DBBF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74579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 xml:space="preserve">Number of </w:t>
      </w:r>
      <w:r w:rsidR="00FB0BF5" w:rsidRPr="009B6186">
        <w:rPr>
          <w:rFonts w:eastAsia="Times New Roman"/>
        </w:rPr>
        <w:t>employees who are potential long-term disability cases.</w:t>
      </w:r>
    </w:p>
    <w:p w14:paraId="302D9D80" w14:textId="0E0EC8AE" w:rsidR="00685C9F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952781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Method of funding existing plans.</w:t>
      </w:r>
    </w:p>
    <w:p w14:paraId="7688BE20" w14:textId="55FDFB41" w:rsidR="00F35978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713774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35978" w:rsidRPr="009B6186">
        <w:rPr>
          <w:rFonts w:eastAsia="Times New Roman"/>
        </w:rPr>
        <w:t xml:space="preserve">Compliance with ERISA. </w:t>
      </w:r>
    </w:p>
    <w:p w14:paraId="65411848" w14:textId="76F795F4" w:rsidR="00B7571A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22267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Compliance with Section 125 cafeteria plan requirements.</w:t>
      </w:r>
    </w:p>
    <w:p w14:paraId="505C78AC" w14:textId="1149C0B8" w:rsidR="00F35978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24478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35978" w:rsidRPr="009B6186">
        <w:rPr>
          <w:rFonts w:eastAsia="Times New Roman"/>
        </w:rPr>
        <w:t>Compliance with the Patient Protection and Affordable Care Act (PPACA).</w:t>
      </w:r>
    </w:p>
    <w:p w14:paraId="4C929294" w14:textId="23F5F07F" w:rsidR="00F35978" w:rsidRPr="009B6186" w:rsidRDefault="00FB0BF5" w:rsidP="00F35978">
      <w:pPr>
        <w:spacing w:after="150" w:line="340" w:lineRule="atLeast"/>
        <w:rPr>
          <w:rFonts w:eastAsia="Times New Roman"/>
        </w:rPr>
      </w:pPr>
      <w:r w:rsidRPr="009B6186">
        <w:rPr>
          <w:rFonts w:eastAsia="Times New Roman"/>
        </w:rPr>
        <w:t>COBRA</w:t>
      </w:r>
    </w:p>
    <w:p w14:paraId="398346CD" w14:textId="08809AC8" w:rsidR="00D3512F" w:rsidRPr="009B6186" w:rsidRDefault="009B6186" w:rsidP="009B6186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id w:val="166412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Compliance with</w:t>
      </w:r>
      <w:r w:rsidR="00FB0BF5" w:rsidRPr="009B6186">
        <w:rPr>
          <w:rFonts w:eastAsia="Times New Roman"/>
        </w:rPr>
        <w:t xml:space="preserve"> COBRA </w:t>
      </w:r>
      <w:r w:rsidR="00685C9F" w:rsidRPr="009B6186">
        <w:rPr>
          <w:rFonts w:eastAsia="Times New Roman"/>
        </w:rPr>
        <w:t>continuation coverage requirements.</w:t>
      </w:r>
    </w:p>
    <w:p w14:paraId="496F1853" w14:textId="23B21F2D" w:rsidR="00B7571A" w:rsidRPr="009B6186" w:rsidRDefault="009B6186" w:rsidP="009B6186">
      <w:pPr>
        <w:ind w:left="720"/>
        <w:rPr>
          <w:rFonts w:eastAsia="Times New Roman"/>
        </w:rPr>
      </w:pPr>
      <w:sdt>
        <w:sdtPr>
          <w:rPr>
            <w:rFonts w:eastAsia="Times New Roman"/>
          </w:rPr>
          <w:id w:val="-110263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Agreements with third party administrators.</w:t>
      </w:r>
    </w:p>
    <w:p w14:paraId="1E31FB0E" w14:textId="4A137148" w:rsidR="00FB0BF5" w:rsidRPr="009B6186" w:rsidRDefault="00FB0BF5" w:rsidP="00D3512F">
      <w:r w:rsidRPr="009B6186">
        <w:t>Retirement Plans</w:t>
      </w:r>
    </w:p>
    <w:p w14:paraId="6FF3F8DB" w14:textId="7EB43702" w:rsidR="00B7571A" w:rsidRPr="009B6186" w:rsidRDefault="009B6186" w:rsidP="009B6186">
      <w:pPr>
        <w:ind w:left="720"/>
        <w:rPr>
          <w:rFonts w:eastAsia="Times New Roman"/>
        </w:rPr>
      </w:pPr>
      <w:sdt>
        <w:sdtPr>
          <w:id w:val="-61676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B0BF5" w:rsidRPr="003A101B">
        <w:t xml:space="preserve">ERISA compliance. </w:t>
      </w:r>
    </w:p>
    <w:p w14:paraId="212D4DAB" w14:textId="7DADAC56" w:rsidR="00B7571A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88337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Qualification status (IRS determination letters). </w:t>
      </w:r>
    </w:p>
    <w:p w14:paraId="265719D8" w14:textId="0AC52BE8" w:rsidR="00B7571A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id w:val="109575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A101B" w:rsidRPr="003A101B">
        <w:t>Form 5500</w:t>
      </w:r>
      <w:r w:rsidR="00B7571A">
        <w:t xml:space="preserve"> annual reports.</w:t>
      </w:r>
    </w:p>
    <w:p w14:paraId="5CCA2E13" w14:textId="7E903D9C" w:rsidR="00B7571A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id w:val="-32243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A101B" w:rsidRPr="003A101B">
        <w:t xml:space="preserve">Summary plan descriptions. </w:t>
      </w:r>
    </w:p>
    <w:p w14:paraId="59774562" w14:textId="441E49EE" w:rsidR="00B7571A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id w:val="-1457635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A101B" w:rsidRPr="003A101B">
        <w:t>Annual reports and summary annual reports.</w:t>
      </w:r>
    </w:p>
    <w:p w14:paraId="20575E63" w14:textId="4B57A88A" w:rsidR="00B7571A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77960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PBGC filings. </w:t>
      </w:r>
    </w:p>
    <w:p w14:paraId="3BDD7BAC" w14:textId="6D344A2E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40232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Funding status. </w:t>
      </w:r>
    </w:p>
    <w:p w14:paraId="39CA5259" w14:textId="41C9586B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01176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>Frozen or terminated</w:t>
      </w:r>
      <w:r w:rsidR="00B7571A" w:rsidRPr="009B6186">
        <w:rPr>
          <w:rFonts w:eastAsia="Times New Roman"/>
        </w:rPr>
        <w:t xml:space="preserve"> plans</w:t>
      </w:r>
      <w:r w:rsidR="00FB0BF5" w:rsidRPr="009B6186">
        <w:rPr>
          <w:rFonts w:eastAsia="Times New Roman"/>
        </w:rPr>
        <w:t xml:space="preserve">. </w:t>
      </w:r>
    </w:p>
    <w:p w14:paraId="40695AB2" w14:textId="1EB61C2A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2972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Carryover of tax attributes. </w:t>
      </w:r>
    </w:p>
    <w:p w14:paraId="3914399D" w14:textId="5C35815A" w:rsidR="00685C9F" w:rsidRPr="009B6186" w:rsidRDefault="00685C9F" w:rsidP="00685C9F">
      <w:pPr>
        <w:spacing w:after="150" w:line="340" w:lineRule="atLeast"/>
        <w:rPr>
          <w:rFonts w:eastAsia="Times New Roman"/>
        </w:rPr>
      </w:pPr>
      <w:r w:rsidRPr="009B6186">
        <w:rPr>
          <w:rFonts w:eastAsia="Times New Roman"/>
        </w:rPr>
        <w:t>Additional Benefits</w:t>
      </w:r>
    </w:p>
    <w:p w14:paraId="2CD6CA9E" w14:textId="19067E2E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85059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Commitments to retirees. </w:t>
      </w:r>
    </w:p>
    <w:p w14:paraId="614E1947" w14:textId="57CA5F3E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74475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Other agreements or promises (cars, club dues, etc.). </w:t>
      </w:r>
    </w:p>
    <w:p w14:paraId="0C2CAD76" w14:textId="258F28CC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64009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S</w:t>
      </w:r>
      <w:r w:rsidR="00FB0BF5" w:rsidRPr="009B6186">
        <w:rPr>
          <w:rFonts w:eastAsia="Times New Roman"/>
        </w:rPr>
        <w:t xml:space="preserve">hort-term and long-term management incentive plans. </w:t>
      </w:r>
    </w:p>
    <w:p w14:paraId="4AB8C286" w14:textId="32962654" w:rsidR="003A101B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43065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3A101B" w:rsidRPr="009B6186">
        <w:rPr>
          <w:rFonts w:eastAsia="Times New Roman"/>
        </w:rPr>
        <w:t>Employee bonus plans.</w:t>
      </w:r>
    </w:p>
    <w:p w14:paraId="2907343A" w14:textId="4767D73E" w:rsidR="00FB0BF5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02615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S</w:t>
      </w:r>
      <w:r w:rsidR="00FB0BF5" w:rsidRPr="009B6186">
        <w:rPr>
          <w:rFonts w:eastAsia="Times New Roman"/>
        </w:rPr>
        <w:t xml:space="preserve">everance </w:t>
      </w:r>
      <w:proofErr w:type="gramStart"/>
      <w:r w:rsidR="00FB0BF5" w:rsidRPr="009B6186">
        <w:rPr>
          <w:rFonts w:eastAsia="Times New Roman"/>
        </w:rPr>
        <w:t>pay</w:t>
      </w:r>
      <w:proofErr w:type="gramEnd"/>
      <w:r w:rsidR="00FB0BF5" w:rsidRPr="009B6186">
        <w:rPr>
          <w:rFonts w:eastAsia="Times New Roman"/>
        </w:rPr>
        <w:t xml:space="preserve"> plans. </w:t>
      </w:r>
    </w:p>
    <w:p w14:paraId="07F9D437" w14:textId="055CF282" w:rsidR="003A101B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25470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3A101B" w:rsidRPr="009B6186">
        <w:rPr>
          <w:rFonts w:eastAsia="Times New Roman"/>
        </w:rPr>
        <w:t xml:space="preserve">Employee leave policies. </w:t>
      </w:r>
    </w:p>
    <w:p w14:paraId="0712526E" w14:textId="060CEAA1" w:rsidR="00685C9F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71665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Workers' compensation claim history.</w:t>
      </w:r>
    </w:p>
    <w:p w14:paraId="71F811E9" w14:textId="652E5F56" w:rsidR="00685C9F" w:rsidRPr="009B6186" w:rsidRDefault="009B6186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573891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685C9F" w:rsidRPr="009B6186">
        <w:rPr>
          <w:rFonts w:eastAsia="Times New Roman"/>
        </w:rPr>
        <w:t>Unemployment insurance claim history.</w:t>
      </w:r>
    </w:p>
    <w:p w14:paraId="26624468" w14:textId="2D87210B" w:rsidR="00B7571A" w:rsidRDefault="00B7571A" w:rsidP="00685C9F">
      <w:pPr>
        <w:spacing w:after="150" w:line="34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Compensation</w:t>
      </w:r>
    </w:p>
    <w:p w14:paraId="6480359D" w14:textId="66865E81" w:rsidR="00B7571A" w:rsidRPr="009B6186" w:rsidRDefault="009830C3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2111032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B6186"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 xml:space="preserve">Total payroll costs. </w:t>
      </w:r>
    </w:p>
    <w:p w14:paraId="51510778" w14:textId="1050B286" w:rsidR="00B7571A" w:rsidRPr="009B6186" w:rsidRDefault="009830C3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1421564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B6186"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Salary structures</w:t>
      </w:r>
      <w:r w:rsidR="00E35849" w:rsidRPr="009B6186">
        <w:rPr>
          <w:rFonts w:eastAsia="Times New Roman"/>
        </w:rPr>
        <w:t xml:space="preserve"> and ranges</w:t>
      </w:r>
      <w:r w:rsidR="00B7571A" w:rsidRPr="009B6186">
        <w:rPr>
          <w:rFonts w:eastAsia="Times New Roman"/>
        </w:rPr>
        <w:t>.</w:t>
      </w:r>
    </w:p>
    <w:p w14:paraId="68CDA342" w14:textId="7A1CBF2B" w:rsidR="00B7571A" w:rsidRPr="009B6186" w:rsidRDefault="009830C3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12284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B6186"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Internal compensation equity audits.</w:t>
      </w:r>
    </w:p>
    <w:p w14:paraId="722BC16C" w14:textId="3C088536" w:rsidR="00B7571A" w:rsidRPr="009B6186" w:rsidRDefault="009830C3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2056503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B6186"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Wage and benefit surveys for the industry and geographical area.</w:t>
      </w:r>
    </w:p>
    <w:p w14:paraId="340B6CE0" w14:textId="4D3050F8" w:rsidR="00B7571A" w:rsidRPr="009B6186" w:rsidRDefault="009830C3" w:rsidP="009B6186">
      <w:pPr>
        <w:spacing w:after="150" w:line="340" w:lineRule="atLeast"/>
        <w:rPr>
          <w:rFonts w:eastAsia="Times New Roman"/>
        </w:rPr>
      </w:pPr>
      <w:sdt>
        <w:sdtPr>
          <w:rPr>
            <w:rFonts w:eastAsia="Times New Roman"/>
          </w:rPr>
          <w:id w:val="-210933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B6186">
        <w:rPr>
          <w:rFonts w:eastAsia="Times New Roman"/>
        </w:rPr>
        <w:t xml:space="preserve"> </w:t>
      </w:r>
      <w:r w:rsidR="00B7571A" w:rsidRPr="009B6186">
        <w:rPr>
          <w:rFonts w:eastAsia="Times New Roman"/>
        </w:rPr>
        <w:t>Unwritten practices affecting compensation and/or benefits.</w:t>
      </w:r>
    </w:p>
    <w:p w14:paraId="6F9B80DD" w14:textId="58EA63AF" w:rsidR="00DB4C42" w:rsidRPr="003A101B" w:rsidRDefault="00DB4C42" w:rsidP="00DB4C42">
      <w:pPr>
        <w:spacing w:after="150" w:line="340" w:lineRule="atLeast"/>
        <w:rPr>
          <w:rFonts w:eastAsia="Times New Roman"/>
          <w:b/>
          <w:bCs/>
        </w:rPr>
      </w:pPr>
      <w:r w:rsidRPr="003A101B">
        <w:rPr>
          <w:rFonts w:eastAsia="Times New Roman"/>
          <w:b/>
          <w:bCs/>
        </w:rPr>
        <w:t>Compliance</w:t>
      </w:r>
    </w:p>
    <w:p w14:paraId="783AC203" w14:textId="1EC42B8A" w:rsidR="00DB4C42" w:rsidRPr="003A101B" w:rsidRDefault="00B7571A" w:rsidP="00DB4C42">
      <w:pPr>
        <w:spacing w:after="150" w:line="340" w:lineRule="atLeast"/>
        <w:rPr>
          <w:rFonts w:eastAsia="Times New Roman"/>
        </w:rPr>
      </w:pPr>
      <w:r>
        <w:rPr>
          <w:rFonts w:eastAsia="Times New Roman"/>
        </w:rPr>
        <w:t>Fair Labor Standards Act (FLSA)</w:t>
      </w:r>
    </w:p>
    <w:p w14:paraId="7658FB65" w14:textId="3A07B550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18944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DB4C42" w:rsidRPr="009B6186">
        <w:rPr>
          <w:rFonts w:eastAsia="Times New Roman"/>
        </w:rPr>
        <w:t>Wage and hour claims pending, settled or threatened.</w:t>
      </w:r>
    </w:p>
    <w:p w14:paraId="4EB140F6" w14:textId="0CB1A10B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37049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>Wage/Hour Division investigations</w:t>
      </w:r>
      <w:r w:rsidR="00DB4C42" w:rsidRPr="009B6186">
        <w:rPr>
          <w:rFonts w:eastAsia="Times New Roman"/>
        </w:rPr>
        <w:t>.</w:t>
      </w:r>
    </w:p>
    <w:p w14:paraId="0115ED2C" w14:textId="7D2ED629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598520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Conciliation agreements with </w:t>
      </w:r>
      <w:r w:rsidR="00DB4C42" w:rsidRPr="009B6186">
        <w:rPr>
          <w:rFonts w:eastAsia="Times New Roman"/>
        </w:rPr>
        <w:t>the Department of Labor.</w:t>
      </w:r>
      <w:r w:rsidR="00FB0BF5" w:rsidRPr="009B6186">
        <w:rPr>
          <w:rFonts w:eastAsia="Times New Roman"/>
        </w:rPr>
        <w:t xml:space="preserve"> </w:t>
      </w:r>
    </w:p>
    <w:p w14:paraId="41384F41" w14:textId="4BB5D805" w:rsidR="00FB0BF5" w:rsidRPr="003A101B" w:rsidRDefault="00DB4C42" w:rsidP="00DB4C42">
      <w:pPr>
        <w:spacing w:after="150" w:line="340" w:lineRule="atLeast"/>
        <w:rPr>
          <w:rFonts w:eastAsia="Times New Roman"/>
        </w:rPr>
      </w:pPr>
      <w:r w:rsidRPr="003A101B">
        <w:rPr>
          <w:rFonts w:eastAsia="Times New Roman"/>
        </w:rPr>
        <w:t>Office of Federal Contractor Compliance Programs (OFCCP)</w:t>
      </w:r>
    </w:p>
    <w:p w14:paraId="28455924" w14:textId="24B51262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16366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Affirmative action programs. </w:t>
      </w:r>
    </w:p>
    <w:p w14:paraId="077987EF" w14:textId="7F4483D5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39300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Conciliation agreements. </w:t>
      </w:r>
    </w:p>
    <w:p w14:paraId="5C6084BC" w14:textId="3D972BB4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28786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>Charges or complaints alleging violation of Executive Order 11246</w:t>
      </w:r>
      <w:r w:rsidR="00DB4C42" w:rsidRPr="009B6186">
        <w:rPr>
          <w:rFonts w:eastAsia="Times New Roman"/>
        </w:rPr>
        <w:t xml:space="preserve">, Section 503 or VEVRAA requirements. </w:t>
      </w:r>
    </w:p>
    <w:p w14:paraId="7DD100E0" w14:textId="578C41E2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518931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Files and correspondence regarding prior OFCCP audits or investigations. </w:t>
      </w:r>
    </w:p>
    <w:p w14:paraId="561B96BF" w14:textId="67DCF909" w:rsidR="00FB0BF5" w:rsidRPr="003A101B" w:rsidRDefault="00FB0BF5" w:rsidP="00DB4C42">
      <w:pPr>
        <w:spacing w:after="150" w:line="340" w:lineRule="atLeast"/>
        <w:rPr>
          <w:rFonts w:eastAsia="Times New Roman"/>
        </w:rPr>
      </w:pPr>
      <w:r w:rsidRPr="003A101B">
        <w:rPr>
          <w:rFonts w:eastAsia="Times New Roman"/>
        </w:rPr>
        <w:t>Equal Employment Opportunity Commission</w:t>
      </w:r>
      <w:r w:rsidR="00DB4C42" w:rsidRPr="003A101B">
        <w:rPr>
          <w:rFonts w:eastAsia="Times New Roman"/>
        </w:rPr>
        <w:t xml:space="preserve"> (EEOC)</w:t>
      </w:r>
    </w:p>
    <w:p w14:paraId="7B730383" w14:textId="1293B2A6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60522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>Prior charges</w:t>
      </w:r>
      <w:r w:rsidR="00DB4C42" w:rsidRPr="009B6186">
        <w:rPr>
          <w:rFonts w:eastAsia="Times New Roman"/>
        </w:rPr>
        <w:t>.</w:t>
      </w:r>
    </w:p>
    <w:p w14:paraId="065AA889" w14:textId="5D005723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54764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Potential charges. </w:t>
      </w:r>
    </w:p>
    <w:p w14:paraId="5F0051A1" w14:textId="7FEE2904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58541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Pending charges. </w:t>
      </w:r>
    </w:p>
    <w:p w14:paraId="2A4880BB" w14:textId="712C3E7E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32026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Litigation arising from charges. </w:t>
      </w:r>
    </w:p>
    <w:p w14:paraId="3BF7D3D0" w14:textId="5ABE9D1D" w:rsidR="00FB0BF5" w:rsidRPr="003A101B" w:rsidRDefault="00FB0BF5" w:rsidP="00DB4C42">
      <w:pPr>
        <w:spacing w:after="150" w:line="340" w:lineRule="atLeast"/>
        <w:rPr>
          <w:rFonts w:eastAsia="Times New Roman"/>
        </w:rPr>
      </w:pPr>
      <w:r w:rsidRPr="003A101B">
        <w:rPr>
          <w:rFonts w:eastAsia="Times New Roman"/>
        </w:rPr>
        <w:t>Occupational Safety and Health Act</w:t>
      </w:r>
    </w:p>
    <w:p w14:paraId="2D85A73C" w14:textId="0D0C88EC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786414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Complaints. </w:t>
      </w:r>
    </w:p>
    <w:p w14:paraId="7B6D6603" w14:textId="56ED369E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48342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Investigation files. </w:t>
      </w:r>
    </w:p>
    <w:p w14:paraId="2EEF6A4A" w14:textId="33D76563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072618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Citations. </w:t>
      </w:r>
    </w:p>
    <w:p w14:paraId="31CD739F" w14:textId="1CA8DFE9" w:rsidR="00FB0BF5" w:rsidRPr="003A101B" w:rsidRDefault="00FB0BF5" w:rsidP="003A101B">
      <w:pPr>
        <w:spacing w:after="150" w:line="340" w:lineRule="atLeast"/>
        <w:rPr>
          <w:rFonts w:eastAsia="Times New Roman"/>
        </w:rPr>
      </w:pPr>
      <w:r w:rsidRPr="003A101B">
        <w:rPr>
          <w:rFonts w:eastAsia="Times New Roman"/>
        </w:rPr>
        <w:t>National Labor Relations Board</w:t>
      </w:r>
    </w:p>
    <w:p w14:paraId="1DDF9292" w14:textId="5C64AC8F" w:rsidR="00E35849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29661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E35849" w:rsidRPr="009B6186">
        <w:rPr>
          <w:rFonts w:eastAsia="Times New Roman"/>
        </w:rPr>
        <w:t xml:space="preserve">Collective Bargaining Agreements. </w:t>
      </w:r>
    </w:p>
    <w:p w14:paraId="31D97354" w14:textId="530534EC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270552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Existing petitions. </w:t>
      </w:r>
    </w:p>
    <w:p w14:paraId="7E2A2BD0" w14:textId="34CE910A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45416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Files concerning prior petitions. </w:t>
      </w:r>
    </w:p>
    <w:p w14:paraId="32DFC3A6" w14:textId="337C9383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86930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Existing unfair labor practice charges. </w:t>
      </w:r>
    </w:p>
    <w:p w14:paraId="4D617F29" w14:textId="301097E4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32425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Files concerning prior unfair labor practice charges. </w:t>
      </w:r>
    </w:p>
    <w:p w14:paraId="30582927" w14:textId="4D7EA120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69260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Litigation with the National Labor Relations Board. </w:t>
      </w:r>
    </w:p>
    <w:p w14:paraId="586DC8A8" w14:textId="1EA0EAAE" w:rsidR="00FB0BF5" w:rsidRPr="003A101B" w:rsidRDefault="00FB0BF5" w:rsidP="003A101B">
      <w:pPr>
        <w:spacing w:after="150" w:line="340" w:lineRule="atLeast"/>
        <w:rPr>
          <w:rFonts w:eastAsia="Times New Roman"/>
        </w:rPr>
      </w:pPr>
      <w:r w:rsidRPr="003A101B">
        <w:rPr>
          <w:rFonts w:eastAsia="Times New Roman"/>
        </w:rPr>
        <w:t>Pension Benefit Guarantee Corporation</w:t>
      </w:r>
    </w:p>
    <w:p w14:paraId="06B7C85A" w14:textId="79524906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35642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Correspondence. </w:t>
      </w:r>
    </w:p>
    <w:p w14:paraId="538DC6B6" w14:textId="47E5D093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7186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Inquiries. </w:t>
      </w:r>
    </w:p>
    <w:p w14:paraId="010D1FCB" w14:textId="1CE3E13F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985780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Charges and litigation. </w:t>
      </w:r>
    </w:p>
    <w:p w14:paraId="6F8962E5" w14:textId="2CDF89E4" w:rsidR="00FB0BF5" w:rsidRPr="003A101B" w:rsidRDefault="003A101B" w:rsidP="003A101B">
      <w:pPr>
        <w:spacing w:after="150" w:line="340" w:lineRule="atLeast"/>
        <w:rPr>
          <w:rFonts w:eastAsia="Times New Roman"/>
        </w:rPr>
      </w:pPr>
      <w:r w:rsidRPr="003A101B">
        <w:rPr>
          <w:rFonts w:eastAsia="Times New Roman"/>
        </w:rPr>
        <w:t>Other l</w:t>
      </w:r>
      <w:r w:rsidR="00FB0BF5" w:rsidRPr="003A101B">
        <w:rPr>
          <w:rFonts w:eastAsia="Times New Roman"/>
        </w:rPr>
        <w:t>itigation</w:t>
      </w:r>
    </w:p>
    <w:p w14:paraId="04A3D538" w14:textId="3D001C14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76738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Whistleblower matters. </w:t>
      </w:r>
    </w:p>
    <w:p w14:paraId="19000C7F" w14:textId="1BBE464B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93371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Wrongful discharge matters. </w:t>
      </w:r>
    </w:p>
    <w:p w14:paraId="31EC1D9C" w14:textId="262734DA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12854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Breach of contract claims. </w:t>
      </w:r>
    </w:p>
    <w:p w14:paraId="4A38A95C" w14:textId="774CCE3B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98198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Any and all federal, state, municipal and administrative decrees, judgments, decisions, opinions or settlement agreements issued or entered into either for or against the company in employment matters. </w:t>
      </w:r>
    </w:p>
    <w:p w14:paraId="7AC61765" w14:textId="4575D9CE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62058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Any present or ongoing employment litigation brought by past or present employees or on behalf of past or present employees by any agency of the federal, state or municipal government. </w:t>
      </w:r>
    </w:p>
    <w:p w14:paraId="23C6BEF4" w14:textId="3593B458" w:rsidR="00E35849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65278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E35849" w:rsidRPr="009B6186">
        <w:rPr>
          <w:rFonts w:eastAsia="Times New Roman"/>
        </w:rPr>
        <w:t xml:space="preserve">Schedule of any employment related legal proceedings or charges during the past five years with settlement costs, if any. </w:t>
      </w:r>
    </w:p>
    <w:p w14:paraId="1C7C69E4" w14:textId="5A91DFAD" w:rsidR="00FB0BF5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45738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FB0BF5" w:rsidRPr="009B6186">
        <w:rPr>
          <w:rFonts w:eastAsia="Times New Roman"/>
        </w:rPr>
        <w:t xml:space="preserve">Any litigation not otherwise disclosed concerning employment matters. </w:t>
      </w:r>
    </w:p>
    <w:p w14:paraId="6E75C556" w14:textId="77777777" w:rsidR="003A101B" w:rsidRPr="003A101B" w:rsidRDefault="003A101B" w:rsidP="003A101B">
      <w:pPr>
        <w:spacing w:after="150" w:line="340" w:lineRule="atLeast"/>
        <w:rPr>
          <w:rFonts w:eastAsia="Times New Roman"/>
        </w:rPr>
      </w:pPr>
      <w:r w:rsidRPr="003A101B">
        <w:rPr>
          <w:rFonts w:eastAsia="Times New Roman"/>
        </w:rPr>
        <w:t xml:space="preserve">Reporting compliance. </w:t>
      </w:r>
    </w:p>
    <w:p w14:paraId="37205ABF" w14:textId="270822E8" w:rsidR="003A101B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49871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3A101B" w:rsidRPr="009B6186">
        <w:rPr>
          <w:rFonts w:eastAsia="Times New Roman"/>
        </w:rPr>
        <w:t xml:space="preserve">Copies of EEO-1 reports for past five years. </w:t>
      </w:r>
    </w:p>
    <w:p w14:paraId="6F461771" w14:textId="10E691D8" w:rsidR="003A101B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9976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3A101B" w:rsidRPr="009B6186">
        <w:rPr>
          <w:rFonts w:eastAsia="Times New Roman"/>
        </w:rPr>
        <w:t xml:space="preserve">Copies of VETS-4212 reports for past five years. </w:t>
      </w:r>
    </w:p>
    <w:p w14:paraId="6EFE43E2" w14:textId="66B31F32" w:rsidR="003A101B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63472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3A101B" w:rsidRPr="009B6186">
        <w:rPr>
          <w:rFonts w:eastAsia="Times New Roman"/>
        </w:rPr>
        <w:t xml:space="preserve">Copy of affirmative action plan. </w:t>
      </w:r>
    </w:p>
    <w:p w14:paraId="2B7F1C6E" w14:textId="71A88968" w:rsidR="003A101B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-1820265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3A101B" w:rsidRPr="009B6186">
        <w:rPr>
          <w:rFonts w:eastAsia="Times New Roman"/>
        </w:rPr>
        <w:t xml:space="preserve">OSHA reports 300, 300A, and 301 for the past 5 years. </w:t>
      </w:r>
    </w:p>
    <w:p w14:paraId="0D127C10" w14:textId="0C579EA8" w:rsidR="00E35849" w:rsidRPr="009B6186" w:rsidRDefault="00985165" w:rsidP="009B6186">
      <w:pPr>
        <w:spacing w:after="150" w:line="340" w:lineRule="atLeast"/>
        <w:ind w:left="720"/>
        <w:rPr>
          <w:rFonts w:eastAsia="Times New Roman"/>
        </w:rPr>
      </w:pPr>
      <w:sdt>
        <w:sdtPr>
          <w:rPr>
            <w:rFonts w:eastAsia="Times New Roman"/>
          </w:rPr>
          <w:id w:val="103808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830C3">
        <w:rPr>
          <w:rFonts w:eastAsia="Times New Roman"/>
        </w:rPr>
        <w:t xml:space="preserve"> </w:t>
      </w:r>
      <w:r w:rsidR="00E35849" w:rsidRPr="009B6186">
        <w:rPr>
          <w:rFonts w:eastAsia="Times New Roman"/>
        </w:rPr>
        <w:t>PPACA annual reporting.</w:t>
      </w:r>
    </w:p>
    <w:p w14:paraId="6BF70E64" w14:textId="16B9B0B8" w:rsidR="00FB0BF5" w:rsidRPr="003A101B" w:rsidRDefault="00FB0BF5" w:rsidP="009B6186">
      <w:pPr>
        <w:spacing w:after="150" w:line="340" w:lineRule="atLeast"/>
        <w:ind w:left="720"/>
        <w:rPr>
          <w:rFonts w:eastAsia="Times New Roman"/>
        </w:rPr>
      </w:pPr>
    </w:p>
    <w:sectPr w:rsidR="00FB0BF5" w:rsidRPr="003A101B" w:rsidSect="00114E3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0047E"/>
    <w:multiLevelType w:val="hybridMultilevel"/>
    <w:tmpl w:val="1B4CA172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C24B3"/>
    <w:multiLevelType w:val="hybridMultilevel"/>
    <w:tmpl w:val="3F981E6A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843B3"/>
    <w:multiLevelType w:val="hybridMultilevel"/>
    <w:tmpl w:val="54D4C480"/>
    <w:lvl w:ilvl="0" w:tplc="F3B61C2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91317"/>
    <w:multiLevelType w:val="hybridMultilevel"/>
    <w:tmpl w:val="F8D0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01C2"/>
    <w:multiLevelType w:val="hybridMultilevel"/>
    <w:tmpl w:val="57AA70B8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0910"/>
    <w:multiLevelType w:val="hybridMultilevel"/>
    <w:tmpl w:val="C9205954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8027F"/>
    <w:multiLevelType w:val="hybridMultilevel"/>
    <w:tmpl w:val="FBFA565C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5332B"/>
    <w:multiLevelType w:val="hybridMultilevel"/>
    <w:tmpl w:val="4BAC6A56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CF13AD"/>
    <w:multiLevelType w:val="hybridMultilevel"/>
    <w:tmpl w:val="28989CD8"/>
    <w:lvl w:ilvl="0" w:tplc="F3B61C2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5405DC"/>
    <w:multiLevelType w:val="hybridMultilevel"/>
    <w:tmpl w:val="EE7A618C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67553"/>
    <w:multiLevelType w:val="hybridMultilevel"/>
    <w:tmpl w:val="A24CB2AA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D747D"/>
    <w:multiLevelType w:val="hybridMultilevel"/>
    <w:tmpl w:val="633A0E8C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C16E2"/>
    <w:multiLevelType w:val="hybridMultilevel"/>
    <w:tmpl w:val="324E5B66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62B7E"/>
    <w:multiLevelType w:val="hybridMultilevel"/>
    <w:tmpl w:val="7F6AADA8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45EBA"/>
    <w:multiLevelType w:val="hybridMultilevel"/>
    <w:tmpl w:val="92927160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6290A"/>
    <w:multiLevelType w:val="hybridMultilevel"/>
    <w:tmpl w:val="36B888CE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B5813"/>
    <w:multiLevelType w:val="hybridMultilevel"/>
    <w:tmpl w:val="41C210D6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0835"/>
    <w:multiLevelType w:val="hybridMultilevel"/>
    <w:tmpl w:val="FF6A487C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A5DB9"/>
    <w:multiLevelType w:val="hybridMultilevel"/>
    <w:tmpl w:val="7EDAE64A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F14D6"/>
    <w:multiLevelType w:val="hybridMultilevel"/>
    <w:tmpl w:val="F1A8672A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27113"/>
    <w:multiLevelType w:val="hybridMultilevel"/>
    <w:tmpl w:val="7A522884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F22D57"/>
    <w:multiLevelType w:val="hybridMultilevel"/>
    <w:tmpl w:val="4BBA9484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F3E80"/>
    <w:multiLevelType w:val="hybridMultilevel"/>
    <w:tmpl w:val="8708C3B2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E5D1B"/>
    <w:multiLevelType w:val="hybridMultilevel"/>
    <w:tmpl w:val="2DAEB260"/>
    <w:lvl w:ilvl="0" w:tplc="F3B61C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3B61C2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4"/>
  </w:num>
  <w:num w:numId="4">
    <w:abstractNumId w:val="2"/>
  </w:num>
  <w:num w:numId="5">
    <w:abstractNumId w:val="8"/>
  </w:num>
  <w:num w:numId="6">
    <w:abstractNumId w:val="16"/>
  </w:num>
  <w:num w:numId="7">
    <w:abstractNumId w:val="11"/>
  </w:num>
  <w:num w:numId="8">
    <w:abstractNumId w:val="22"/>
  </w:num>
  <w:num w:numId="9">
    <w:abstractNumId w:val="15"/>
  </w:num>
  <w:num w:numId="10">
    <w:abstractNumId w:val="0"/>
  </w:num>
  <w:num w:numId="11">
    <w:abstractNumId w:val="7"/>
  </w:num>
  <w:num w:numId="12">
    <w:abstractNumId w:val="18"/>
  </w:num>
  <w:num w:numId="13">
    <w:abstractNumId w:val="6"/>
  </w:num>
  <w:num w:numId="14">
    <w:abstractNumId w:val="10"/>
  </w:num>
  <w:num w:numId="15">
    <w:abstractNumId w:val="21"/>
  </w:num>
  <w:num w:numId="16">
    <w:abstractNumId w:val="9"/>
  </w:num>
  <w:num w:numId="17">
    <w:abstractNumId w:val="17"/>
  </w:num>
  <w:num w:numId="18">
    <w:abstractNumId w:val="12"/>
  </w:num>
  <w:num w:numId="19">
    <w:abstractNumId w:val="19"/>
  </w:num>
  <w:num w:numId="20">
    <w:abstractNumId w:val="14"/>
  </w:num>
  <w:num w:numId="21">
    <w:abstractNumId w:val="1"/>
  </w:num>
  <w:num w:numId="22">
    <w:abstractNumId w:val="20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BF5"/>
    <w:rsid w:val="00114E3A"/>
    <w:rsid w:val="00186849"/>
    <w:rsid w:val="003A101B"/>
    <w:rsid w:val="00685C9F"/>
    <w:rsid w:val="0081275A"/>
    <w:rsid w:val="009830C3"/>
    <w:rsid w:val="00985165"/>
    <w:rsid w:val="00985F67"/>
    <w:rsid w:val="009B6186"/>
    <w:rsid w:val="00A946F2"/>
    <w:rsid w:val="00B7571A"/>
    <w:rsid w:val="00B824E9"/>
    <w:rsid w:val="00CF4B36"/>
    <w:rsid w:val="00D3512F"/>
    <w:rsid w:val="00DB4C42"/>
    <w:rsid w:val="00E35849"/>
    <w:rsid w:val="00F35978"/>
    <w:rsid w:val="00F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F316"/>
  <w15:chartTrackingRefBased/>
  <w15:docId w15:val="{50F8E838-6D36-495B-8CB3-E7D5019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333333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B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5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96833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92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457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604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8027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2494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2021-09-02T16:51:00Z</dcterms:created>
  <dcterms:modified xsi:type="dcterms:W3CDTF">2021-09-02T18:45:00Z</dcterms:modified>
</cp:coreProperties>
</file>